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8D6" w:rsidRPr="00391054" w:rsidRDefault="00FE0498" w:rsidP="00391054">
      <w:pPr>
        <w:pStyle w:val="PartHeading"/>
        <w:rPr>
          <w:sz w:val="24"/>
          <w:szCs w:val="24"/>
        </w:rPr>
      </w:pPr>
      <w:r>
        <w:rPr>
          <w:sz w:val="24"/>
          <w:szCs w:val="24"/>
        </w:rPr>
        <w:t>FUTURE NET REPLACEMENT RATE</w:t>
      </w:r>
    </w:p>
    <w:p w:rsidR="003448D6" w:rsidRDefault="003448D6" w:rsidP="003448D6">
      <w:pPr>
        <w:pStyle w:val="Heading3"/>
      </w:pPr>
      <w:r>
        <w:t>Goal and targets addressed</w:t>
      </w:r>
    </w:p>
    <w:p w:rsidR="00FE0498" w:rsidRDefault="00FE0498" w:rsidP="00FE0498">
      <w:pPr>
        <w:pStyle w:val="BodyText"/>
        <w:ind w:firstLine="0"/>
      </w:pPr>
      <w:r>
        <w:t>Goal 1 End poverty in all its forms everywhere</w:t>
      </w:r>
    </w:p>
    <w:p w:rsidR="00FE0498" w:rsidRPr="00FE0498" w:rsidRDefault="00FE0498" w:rsidP="00FE0498">
      <w:pPr>
        <w:pStyle w:val="BodyText"/>
      </w:pPr>
      <w:r w:rsidRPr="00FE0498">
        <w:t xml:space="preserve">Target 1.3 </w:t>
      </w:r>
      <w:r>
        <w:t xml:space="preserve"> I</w:t>
      </w:r>
      <w:r w:rsidRPr="00FE0498">
        <w:t>mplement nationally appropriate social protection systems and measures for all, including floors, and by 2030 achieve substantial coverage of the poor and the vulnerable</w:t>
      </w:r>
    </w:p>
    <w:p w:rsidR="00FE0498" w:rsidRDefault="00FE0498" w:rsidP="00FE0498">
      <w:pPr>
        <w:pStyle w:val="BodyText"/>
      </w:pPr>
      <w:r>
        <w:t>Goal 10 Reduce inequality within and among countries</w:t>
      </w:r>
    </w:p>
    <w:p w:rsidR="00FE0498" w:rsidRDefault="00FE0498" w:rsidP="00FE0498">
      <w:pPr>
        <w:pStyle w:val="BodyText"/>
      </w:pPr>
      <w:r>
        <w:t xml:space="preserve">Target </w:t>
      </w:r>
      <w:r w:rsidRPr="00FE0498">
        <w:t>10.4</w:t>
      </w:r>
      <w:r>
        <w:t xml:space="preserve"> </w:t>
      </w:r>
      <w:r>
        <w:rPr>
          <w:b/>
        </w:rPr>
        <w:t>A</w:t>
      </w:r>
      <w:r>
        <w:t>dopt policies especially fiscal, wage, and social protection policies and progressively achieve greater equality</w:t>
      </w:r>
    </w:p>
    <w:p w:rsidR="00465AEA" w:rsidRPr="00FE0498" w:rsidRDefault="00465AEA" w:rsidP="003448D6">
      <w:pPr>
        <w:pStyle w:val="Heading3"/>
      </w:pPr>
      <w:r w:rsidRPr="00FE0498">
        <w:t>Indicators</w:t>
      </w:r>
    </w:p>
    <w:p w:rsidR="00FE0498" w:rsidRDefault="00FE0498" w:rsidP="00FE0498">
      <w:pPr>
        <w:pStyle w:val="ListBullet"/>
      </w:pPr>
      <w:r>
        <w:t>Future net pension replacement rate</w:t>
      </w:r>
    </w:p>
    <w:p w:rsidR="003448D6" w:rsidRPr="00FE0498" w:rsidRDefault="003448D6" w:rsidP="003448D6">
      <w:pPr>
        <w:pStyle w:val="Heading3"/>
      </w:pPr>
      <w:r w:rsidRPr="00FE0498">
        <w:t>Definition and method of computation</w:t>
      </w:r>
    </w:p>
    <w:p w:rsidR="00FE0498" w:rsidRDefault="00FE0498" w:rsidP="00FE0498">
      <w:pPr>
        <w:pStyle w:val="BodyText"/>
      </w:pPr>
      <w:r w:rsidRPr="004344A5">
        <w:t>The net rep</w:t>
      </w:r>
      <w:r>
        <w:t xml:space="preserve">lacement rate is defined as the </w:t>
      </w:r>
      <w:r w:rsidRPr="004344A5">
        <w:t>individual net pension entitlement divided by net</w:t>
      </w:r>
      <w:r>
        <w:t xml:space="preserve"> </w:t>
      </w:r>
      <w:r w:rsidRPr="004344A5">
        <w:t xml:space="preserve">pre-retirement </w:t>
      </w:r>
      <w:r>
        <w:t xml:space="preserve">life-time average </w:t>
      </w:r>
      <w:r w:rsidRPr="004344A5">
        <w:t>earnings, taking account of personal</w:t>
      </w:r>
      <w:r>
        <w:t xml:space="preserve"> </w:t>
      </w:r>
      <w:r w:rsidRPr="004344A5">
        <w:t>income taxes and social security contributions paid by</w:t>
      </w:r>
      <w:r>
        <w:t xml:space="preserve"> </w:t>
      </w:r>
      <w:r w:rsidRPr="004344A5">
        <w:t xml:space="preserve">workers and pensioners. </w:t>
      </w:r>
      <w:r>
        <w:t>The net replacement rate is calculated in the OECD pension models which are based on the input from countries</w:t>
      </w:r>
      <w:r w:rsidRPr="00155977">
        <w:t>.</w:t>
      </w:r>
    </w:p>
    <w:p w:rsidR="00391054" w:rsidRPr="00FE0498" w:rsidRDefault="003448D6" w:rsidP="003448D6">
      <w:pPr>
        <w:pStyle w:val="Heading3"/>
      </w:pPr>
      <w:r w:rsidRPr="00FE0498">
        <w:t>Rationale and interpretation</w:t>
      </w:r>
    </w:p>
    <w:p w:rsidR="00FE0498" w:rsidRDefault="00FE0498" w:rsidP="00FE0498">
      <w:pPr>
        <w:pStyle w:val="BodyText"/>
      </w:pPr>
      <w:r w:rsidRPr="004344A5">
        <w:t>The</w:t>
      </w:r>
      <w:r>
        <w:t xml:space="preserve"> future</w:t>
      </w:r>
      <w:r w:rsidRPr="004344A5">
        <w:t xml:space="preserve"> </w:t>
      </w:r>
      <w:r>
        <w:t xml:space="preserve">net </w:t>
      </w:r>
      <w:r w:rsidRPr="004344A5">
        <w:t>pe</w:t>
      </w:r>
      <w:r>
        <w:t xml:space="preserve">nsion replacement rate measures </w:t>
      </w:r>
      <w:r w:rsidRPr="004344A5">
        <w:t>how effectively a pension system provides a retirement</w:t>
      </w:r>
      <w:r>
        <w:t xml:space="preserve"> </w:t>
      </w:r>
      <w:r w:rsidRPr="004344A5">
        <w:t>income to replace earnings, the main source of</w:t>
      </w:r>
      <w:r>
        <w:t xml:space="preserve"> </w:t>
      </w:r>
      <w:r w:rsidRPr="004344A5">
        <w:t>income before retirement</w:t>
      </w:r>
      <w:r>
        <w:t xml:space="preserve"> for an individual entering the labour market today.</w:t>
      </w:r>
    </w:p>
    <w:p w:rsidR="00FE0498" w:rsidRDefault="003448D6" w:rsidP="00391054">
      <w:pPr>
        <w:pStyle w:val="Heading3"/>
      </w:pPr>
      <w:r w:rsidRPr="00FE0498">
        <w:t>Disaggregation</w:t>
      </w:r>
    </w:p>
    <w:p w:rsidR="00FE0498" w:rsidRPr="00796576" w:rsidRDefault="00FE0498" w:rsidP="00FE0498">
      <w:pPr>
        <w:pStyle w:val="BodyText"/>
      </w:pPr>
      <w:r>
        <w:t>The indicator is available for both men and women.</w:t>
      </w:r>
    </w:p>
    <w:p w:rsidR="00391054" w:rsidRPr="00FE0498" w:rsidRDefault="00391054" w:rsidP="00391054">
      <w:pPr>
        <w:pStyle w:val="Heading3"/>
      </w:pPr>
      <w:r w:rsidRPr="00FE0498">
        <w:t>Sources and data collection</w:t>
      </w:r>
    </w:p>
    <w:p w:rsidR="00816E10" w:rsidRPr="00796576" w:rsidRDefault="00FE0498" w:rsidP="00816E10">
      <w:pPr>
        <w:rPr>
          <w:sz w:val="18"/>
        </w:rPr>
      </w:pPr>
      <w:r>
        <w:t>Information and data are reported by countries drawing on available official sources and legislation. The indicator is updated every two years.</w:t>
      </w:r>
      <w:r w:rsidR="00816E10">
        <w:t xml:space="preserve"> </w:t>
      </w:r>
      <w:r w:rsidR="00816E10">
        <w:rPr>
          <w:sz w:val="18"/>
        </w:rPr>
        <w:t>All OECD, G20, EU28 and other major economies are currently included.</w:t>
      </w:r>
    </w:p>
    <w:p w:rsidR="00FE0498" w:rsidRDefault="00FE0498" w:rsidP="00FE0498">
      <w:pPr>
        <w:pStyle w:val="BodyText"/>
      </w:pPr>
    </w:p>
    <w:p w:rsidR="003448D6" w:rsidRPr="00FE0498" w:rsidRDefault="003448D6" w:rsidP="003448D6">
      <w:pPr>
        <w:pStyle w:val="Heading3"/>
      </w:pPr>
      <w:r w:rsidRPr="00FE0498">
        <w:t>Comments and limitations</w:t>
      </w:r>
    </w:p>
    <w:p w:rsidR="00FE0498" w:rsidRDefault="00FE0498" w:rsidP="00FE0498">
      <w:pPr>
        <w:pStyle w:val="BodyText"/>
      </w:pPr>
      <w:r>
        <w:rPr>
          <w:b/>
        </w:rPr>
        <w:t>Forward looking</w:t>
      </w:r>
      <w:r w:rsidRPr="00D4456D">
        <w:rPr>
          <w:b/>
        </w:rPr>
        <w:t>:</w:t>
      </w:r>
      <w:r>
        <w:t xml:space="preserve"> the indicator is forward looking and represents a theoretical future for a person entering the labour market today at age 20.</w:t>
      </w:r>
    </w:p>
    <w:p w:rsidR="00FE0498" w:rsidRDefault="00FE0498" w:rsidP="00FE0498">
      <w:pPr>
        <w:pStyle w:val="BodyText"/>
      </w:pPr>
      <w:r>
        <w:rPr>
          <w:b/>
        </w:rPr>
        <w:lastRenderedPageBreak/>
        <w:t>The same economic assumptions for all countries:</w:t>
      </w:r>
      <w:r>
        <w:t xml:space="preserve"> As the perspective is micro economic and the focus is on comparisons of systems and rules all countries are compared using the same economic assumptions.</w:t>
      </w:r>
    </w:p>
    <w:p w:rsidR="00FE0498" w:rsidRDefault="003448D6" w:rsidP="003448D6">
      <w:pPr>
        <w:pStyle w:val="Heading3"/>
      </w:pPr>
      <w:r w:rsidRPr="00FE0498">
        <w:t>Gender equality issues</w:t>
      </w:r>
    </w:p>
    <w:p w:rsidR="003448D6" w:rsidRPr="00FE0498" w:rsidRDefault="003448D6" w:rsidP="003448D6">
      <w:pPr>
        <w:pStyle w:val="Heading3"/>
      </w:pPr>
      <w:r w:rsidRPr="00FE0498">
        <w:t>Supplementary information</w:t>
      </w:r>
    </w:p>
    <w:p w:rsidR="003448D6" w:rsidRDefault="003448D6" w:rsidP="003448D6">
      <w:pPr>
        <w:pStyle w:val="Heading3"/>
      </w:pPr>
      <w:r w:rsidRPr="000B7E55">
        <w:t>References</w:t>
      </w:r>
    </w:p>
    <w:p w:rsidR="00816E10" w:rsidRPr="00ED7B27" w:rsidRDefault="00816E10" w:rsidP="00816E10">
      <w:pPr>
        <w:pStyle w:val="BodyText"/>
      </w:pPr>
      <w:r w:rsidRPr="00ED7B27">
        <w:t>OECD Pension at a Glance 2013</w:t>
      </w:r>
    </w:p>
    <w:p w:rsidR="00816E10" w:rsidRDefault="00D41971" w:rsidP="00816E10">
      <w:pPr>
        <w:pStyle w:val="BodyText"/>
        <w:rPr>
          <w:rStyle w:val="Hyperlink"/>
          <w:sz w:val="20"/>
        </w:rPr>
      </w:pPr>
      <w:hyperlink r:id="rId9" w:history="1">
        <w:r w:rsidR="00816E10" w:rsidRPr="00ED7B27">
          <w:rPr>
            <w:rStyle w:val="Hyperlink"/>
            <w:sz w:val="20"/>
          </w:rPr>
          <w:t>http://www.oecd.org/pensions/public-pensions/OECDPensionsAtAGlance2013.pdf</w:t>
        </w:r>
      </w:hyperlink>
    </w:p>
    <w:p w:rsidR="00F3799A" w:rsidRDefault="00F3799A" w:rsidP="00816E10">
      <w:pPr>
        <w:pStyle w:val="BodyText"/>
        <w:rPr>
          <w:rStyle w:val="Hyperlink"/>
          <w:sz w:val="20"/>
        </w:rPr>
      </w:pPr>
    </w:p>
    <w:p w:rsidR="00F3799A" w:rsidRDefault="00F3799A">
      <w:pPr>
        <w:tabs>
          <w:tab w:val="clear" w:pos="850"/>
          <w:tab w:val="clear" w:pos="1191"/>
          <w:tab w:val="clear" w:pos="1531"/>
        </w:tabs>
        <w:jc w:val="left"/>
        <w:rPr>
          <w:rStyle w:val="Hyperlink"/>
          <w:sz w:val="20"/>
        </w:rPr>
      </w:pPr>
      <w:r>
        <w:rPr>
          <w:rStyle w:val="Hyperlink"/>
          <w:sz w:val="20"/>
        </w:rPr>
        <w:br w:type="page"/>
      </w:r>
    </w:p>
    <w:p w:rsidR="00F3799A" w:rsidRPr="00F3799A" w:rsidRDefault="00F3799A" w:rsidP="00F3799A">
      <w:pPr>
        <w:keepNext/>
        <w:spacing w:before="1200" w:after="720"/>
        <w:jc w:val="center"/>
        <w:rPr>
          <w:b/>
          <w:bCs/>
          <w:caps/>
          <w:sz w:val="24"/>
          <w:szCs w:val="24"/>
        </w:rPr>
      </w:pPr>
      <w:r w:rsidRPr="00F3799A">
        <w:rPr>
          <w:b/>
          <w:bCs/>
          <w:caps/>
          <w:sz w:val="24"/>
          <w:szCs w:val="24"/>
        </w:rPr>
        <w:lastRenderedPageBreak/>
        <w:t>Public and private health care coverage</w:t>
      </w:r>
    </w:p>
    <w:p w:rsidR="00F3799A" w:rsidRPr="00F3799A" w:rsidRDefault="00F3799A" w:rsidP="00F3799A">
      <w:pPr>
        <w:keepNext/>
        <w:spacing w:before="240" w:after="240"/>
        <w:outlineLvl w:val="2"/>
        <w:rPr>
          <w:b/>
          <w:bCs/>
          <w:i/>
          <w:iCs/>
        </w:rPr>
      </w:pPr>
      <w:r w:rsidRPr="00F3799A">
        <w:rPr>
          <w:b/>
          <w:bCs/>
          <w:i/>
          <w:iCs/>
        </w:rPr>
        <w:t>Goal and targets addressed</w:t>
      </w:r>
    </w:p>
    <w:p w:rsidR="00F3799A" w:rsidRPr="00F3799A" w:rsidRDefault="00F3799A" w:rsidP="00F3799A">
      <w:pPr>
        <w:spacing w:after="240"/>
        <w:ind w:firstLine="442"/>
      </w:pPr>
      <w:r w:rsidRPr="00F3799A">
        <w:t>Goal 1: End poverty in all its forms everywhere</w:t>
      </w:r>
    </w:p>
    <w:p w:rsidR="00F3799A" w:rsidRPr="00F3799A" w:rsidRDefault="00F3799A" w:rsidP="00F3799A">
      <w:pPr>
        <w:spacing w:after="240"/>
        <w:ind w:firstLine="442"/>
      </w:pPr>
      <w:r w:rsidRPr="00F3799A">
        <w:t xml:space="preserve">Goal 3: </w:t>
      </w:r>
      <w:r w:rsidRPr="00F3799A">
        <w:rPr>
          <w:bCs/>
        </w:rPr>
        <w:t>Ensure healthy lives and promote well-being for all at all ages</w:t>
      </w:r>
    </w:p>
    <w:p w:rsidR="00F3799A" w:rsidRPr="00F3799A" w:rsidRDefault="00F3799A" w:rsidP="00F3799A">
      <w:pPr>
        <w:spacing w:after="240"/>
        <w:ind w:firstLine="442"/>
      </w:pPr>
      <w:r w:rsidRPr="00F3799A">
        <w:t>Target 1.3. Implement nationally appropriate social protection systems and measures for all, including floors, and by 2030 achieve substantial coverage of the poor and the vulnerable</w:t>
      </w:r>
    </w:p>
    <w:p w:rsidR="00F3799A" w:rsidRPr="00F3799A" w:rsidRDefault="00F3799A" w:rsidP="00F3799A">
      <w:pPr>
        <w:spacing w:after="240"/>
        <w:ind w:firstLine="442"/>
      </w:pPr>
      <w:r w:rsidRPr="00F3799A">
        <w:t>Target 3.8 Achieve universal health coverage, including financial protection, access to quality essential health-care services and access to safe, effective, quality and affordable essential medicines and vaccines for all</w:t>
      </w:r>
    </w:p>
    <w:p w:rsidR="00F3799A" w:rsidRPr="00F3799A" w:rsidRDefault="00F3799A" w:rsidP="00F3799A">
      <w:pPr>
        <w:keepNext/>
        <w:spacing w:before="240" w:after="240"/>
        <w:outlineLvl w:val="2"/>
        <w:rPr>
          <w:b/>
          <w:bCs/>
          <w:i/>
          <w:iCs/>
        </w:rPr>
      </w:pPr>
      <w:r w:rsidRPr="00F3799A">
        <w:rPr>
          <w:b/>
          <w:bCs/>
          <w:i/>
          <w:iCs/>
        </w:rPr>
        <w:t>Indicators</w:t>
      </w:r>
    </w:p>
    <w:p w:rsidR="00F3799A" w:rsidRPr="00F3799A" w:rsidRDefault="00F3799A" w:rsidP="00F3799A">
      <w:pPr>
        <w:tabs>
          <w:tab w:val="clear" w:pos="1191"/>
          <w:tab w:val="clear" w:pos="1531"/>
          <w:tab w:val="num" w:pos="850"/>
        </w:tabs>
        <w:spacing w:after="240"/>
        <w:ind w:left="850" w:hanging="408"/>
      </w:pPr>
      <w:r w:rsidRPr="00F3799A">
        <w:t>Share of the population covered by public and private health insurance</w:t>
      </w:r>
    </w:p>
    <w:p w:rsidR="00F3799A" w:rsidRPr="00F3799A" w:rsidRDefault="00F3799A" w:rsidP="00F3799A">
      <w:pPr>
        <w:keepNext/>
        <w:spacing w:before="240" w:after="240"/>
        <w:outlineLvl w:val="2"/>
        <w:rPr>
          <w:b/>
          <w:bCs/>
          <w:i/>
          <w:iCs/>
        </w:rPr>
      </w:pPr>
      <w:r w:rsidRPr="00F3799A">
        <w:rPr>
          <w:b/>
          <w:bCs/>
          <w:i/>
          <w:iCs/>
        </w:rPr>
        <w:t>Definition and method of computation</w:t>
      </w:r>
    </w:p>
    <w:p w:rsidR="00F3799A" w:rsidRPr="00F3799A" w:rsidRDefault="00F3799A" w:rsidP="00F3799A">
      <w:r w:rsidRPr="00F3799A">
        <w:t>The share of the population covered by health insurance, taking into account both public and private insurance schemes.</w:t>
      </w:r>
    </w:p>
    <w:p w:rsidR="00F3799A" w:rsidRPr="00F3799A" w:rsidRDefault="00F3799A" w:rsidP="00F3799A"/>
    <w:p w:rsidR="00F3799A" w:rsidRPr="00F3799A" w:rsidRDefault="00F3799A" w:rsidP="00F3799A">
      <w:r w:rsidRPr="00F3799A">
        <w:t>Public health insurance coverage (government/social) is the share of the population (%) eligible for a defined set of health care services and goods.</w:t>
      </w:r>
    </w:p>
    <w:p w:rsidR="00F3799A" w:rsidRPr="00F3799A" w:rsidRDefault="00F3799A" w:rsidP="00F3799A"/>
    <w:p w:rsidR="00F3799A" w:rsidRPr="00F3799A" w:rsidRDefault="00F3799A" w:rsidP="00F3799A">
      <w:pPr>
        <w:rPr>
          <w:rFonts w:cs="Arial"/>
          <w:bCs/>
          <w:color w:val="000000"/>
        </w:rPr>
      </w:pPr>
      <w:r w:rsidRPr="00F3799A">
        <w:t xml:space="preserve">Private health insurance is the share of the population covered by at least one private health insurance policy (including both individuals covered in their own name and dependents).  It might include various types of </w:t>
      </w:r>
      <w:r w:rsidRPr="00F3799A">
        <w:rPr>
          <w:rFonts w:cs="Arial"/>
          <w:bCs/>
          <w:color w:val="000000"/>
        </w:rPr>
        <w:t>private health insurance (PHI):</w:t>
      </w:r>
    </w:p>
    <w:p w:rsidR="00F3799A" w:rsidRPr="00F3799A" w:rsidRDefault="00F3799A" w:rsidP="00F3799A">
      <w:pPr>
        <w:rPr>
          <w:rFonts w:cs="Arial,Bold"/>
          <w:bCs/>
          <w:color w:val="000000"/>
        </w:rPr>
      </w:pPr>
    </w:p>
    <w:p w:rsidR="00F3799A" w:rsidRPr="00F3799A" w:rsidRDefault="00F3799A" w:rsidP="00F3799A">
      <w:pPr>
        <w:numPr>
          <w:ilvl w:val="0"/>
          <w:numId w:val="23"/>
        </w:numPr>
        <w:tabs>
          <w:tab w:val="left" w:pos="720"/>
        </w:tabs>
        <w:autoSpaceDE w:val="0"/>
        <w:autoSpaceDN w:val="0"/>
        <w:adjustRightInd w:val="0"/>
        <w:spacing w:after="200" w:line="276" w:lineRule="auto"/>
        <w:contextualSpacing/>
        <w:jc w:val="left"/>
        <w:rPr>
          <w:rFonts w:cs="Arial"/>
          <w:bCs/>
          <w:color w:val="000000"/>
        </w:rPr>
      </w:pPr>
      <w:r w:rsidRPr="00F3799A">
        <w:rPr>
          <w:rFonts w:cs="Arial"/>
          <w:bCs/>
          <w:u w:val="single"/>
        </w:rPr>
        <w:t>Primary PHI</w:t>
      </w:r>
      <w:r w:rsidRPr="00F3799A">
        <w:rPr>
          <w:rFonts w:cs="Arial"/>
          <w:bCs/>
          <w:color w:val="000000"/>
        </w:rPr>
        <w:t xml:space="preserve"> represents the only available access to health coverage because: i) there is no government/social coverage or individuals are not eligible to coverage under government/social programmes (principal coverage); or ii) individuals are entitled to government/social coverage but have chosen to opt out (substitute coverage).</w:t>
      </w:r>
    </w:p>
    <w:p w:rsidR="00F3799A" w:rsidRPr="00F3799A" w:rsidRDefault="00F3799A" w:rsidP="00F3799A">
      <w:pPr>
        <w:numPr>
          <w:ilvl w:val="0"/>
          <w:numId w:val="23"/>
        </w:numPr>
        <w:tabs>
          <w:tab w:val="left" w:pos="720"/>
        </w:tabs>
        <w:autoSpaceDE w:val="0"/>
        <w:autoSpaceDN w:val="0"/>
        <w:adjustRightInd w:val="0"/>
        <w:spacing w:after="200" w:line="276" w:lineRule="auto"/>
        <w:contextualSpacing/>
        <w:jc w:val="left"/>
        <w:rPr>
          <w:rFonts w:cs="Arial"/>
          <w:bCs/>
          <w:color w:val="000000"/>
        </w:rPr>
      </w:pPr>
      <w:r w:rsidRPr="00F3799A">
        <w:rPr>
          <w:rFonts w:cs="Arial"/>
          <w:bCs/>
          <w:u w:val="single"/>
        </w:rPr>
        <w:t>Duplicate PHI</w:t>
      </w:r>
      <w:r w:rsidRPr="00F3799A">
        <w:rPr>
          <w:rFonts w:cs="Arial"/>
          <w:bCs/>
          <w:color w:val="000000"/>
        </w:rPr>
        <w:t xml:space="preserve"> offers coverage for health services already included under government health insurance, while also offering access to different providers (e.g., private hospitals) or levels of service (e.g., faster access to care). It does not exempt individuals from contributing to government health coverage programmes.</w:t>
      </w:r>
    </w:p>
    <w:p w:rsidR="00F3799A" w:rsidRPr="00F3799A" w:rsidRDefault="00F3799A" w:rsidP="00F3799A">
      <w:pPr>
        <w:numPr>
          <w:ilvl w:val="0"/>
          <w:numId w:val="23"/>
        </w:numPr>
        <w:tabs>
          <w:tab w:val="left" w:pos="720"/>
        </w:tabs>
        <w:autoSpaceDE w:val="0"/>
        <w:autoSpaceDN w:val="0"/>
        <w:adjustRightInd w:val="0"/>
        <w:spacing w:after="200" w:line="276" w:lineRule="auto"/>
        <w:contextualSpacing/>
        <w:jc w:val="left"/>
        <w:rPr>
          <w:rFonts w:cs="Arial"/>
          <w:bCs/>
          <w:color w:val="000000"/>
        </w:rPr>
      </w:pPr>
      <w:r w:rsidRPr="00F3799A">
        <w:rPr>
          <w:rFonts w:cs="Arial"/>
          <w:bCs/>
          <w:u w:val="single"/>
        </w:rPr>
        <w:t>Complementary PHI</w:t>
      </w:r>
      <w:r w:rsidRPr="00F3799A">
        <w:rPr>
          <w:rFonts w:cs="Arial"/>
          <w:bCs/>
          <w:color w:val="000000"/>
        </w:rPr>
        <w:t xml:space="preserve"> complements coverage of government/ social insured services by covering all or part of the residual costs not otherwise reimbursed (e.g., cost-sharing, co-payments).</w:t>
      </w:r>
    </w:p>
    <w:p w:rsidR="00F3799A" w:rsidRPr="00F3799A" w:rsidRDefault="00F3799A" w:rsidP="00F3799A">
      <w:pPr>
        <w:numPr>
          <w:ilvl w:val="0"/>
          <w:numId w:val="23"/>
        </w:numPr>
        <w:tabs>
          <w:tab w:val="left" w:pos="720"/>
        </w:tabs>
        <w:autoSpaceDE w:val="0"/>
        <w:autoSpaceDN w:val="0"/>
        <w:adjustRightInd w:val="0"/>
        <w:spacing w:after="200" w:line="276" w:lineRule="auto"/>
        <w:contextualSpacing/>
        <w:jc w:val="left"/>
      </w:pPr>
      <w:r w:rsidRPr="00F3799A">
        <w:rPr>
          <w:rFonts w:cs="Arial"/>
          <w:bCs/>
          <w:u w:val="single"/>
        </w:rPr>
        <w:t>Supplementary PHI</w:t>
      </w:r>
      <w:r w:rsidRPr="00F3799A">
        <w:rPr>
          <w:rFonts w:cs="Arial"/>
          <w:bCs/>
          <w:color w:val="000000"/>
        </w:rPr>
        <w:t xml:space="preserve"> provides coverage for additional health services not at all covered by the government/social scheme.</w:t>
      </w:r>
      <w:r w:rsidRPr="00F3799A">
        <w:t xml:space="preserve">   </w:t>
      </w:r>
    </w:p>
    <w:p w:rsidR="00F3799A" w:rsidRPr="00F3799A" w:rsidRDefault="00F3799A" w:rsidP="00F3799A">
      <w:pPr>
        <w:spacing w:after="240"/>
      </w:pPr>
    </w:p>
    <w:p w:rsidR="00F3799A" w:rsidRPr="00F3799A" w:rsidRDefault="00F3799A" w:rsidP="00F3799A">
      <w:pPr>
        <w:keepNext/>
        <w:spacing w:before="240" w:after="240"/>
        <w:outlineLvl w:val="2"/>
        <w:rPr>
          <w:b/>
          <w:bCs/>
          <w:i/>
          <w:iCs/>
        </w:rPr>
      </w:pPr>
      <w:r w:rsidRPr="00F3799A">
        <w:rPr>
          <w:b/>
          <w:bCs/>
          <w:i/>
          <w:iCs/>
        </w:rPr>
        <w:lastRenderedPageBreak/>
        <w:t>Rationale and interpretation</w:t>
      </w:r>
    </w:p>
    <w:p w:rsidR="00F3799A" w:rsidRPr="00F3799A" w:rsidRDefault="00F3799A" w:rsidP="00F3799A">
      <w:pPr>
        <w:spacing w:after="240"/>
        <w:ind w:firstLine="442"/>
      </w:pPr>
      <w:r w:rsidRPr="00F3799A">
        <w:t>This indicator is a key starting point to measuring progress towards universal health coverage. People without any coverage (the uninsured) can be expected to have more financial difficulties accessing essential health services and medicines. Sources and data collection</w:t>
      </w:r>
    </w:p>
    <w:p w:rsidR="00F3799A" w:rsidRPr="00F3799A" w:rsidRDefault="00F3799A" w:rsidP="00F3799A">
      <w:pPr>
        <w:keepNext/>
        <w:spacing w:before="240" w:after="240"/>
        <w:outlineLvl w:val="2"/>
        <w:rPr>
          <w:b/>
          <w:bCs/>
          <w:i/>
          <w:iCs/>
        </w:rPr>
      </w:pPr>
      <w:r w:rsidRPr="00F3799A">
        <w:rPr>
          <w:b/>
          <w:bCs/>
          <w:i/>
          <w:iCs/>
        </w:rPr>
        <w:t>Disaggregation</w:t>
      </w:r>
    </w:p>
    <w:p w:rsidR="00F3799A" w:rsidRPr="00F3799A" w:rsidRDefault="00F3799A" w:rsidP="00F3799A">
      <w:pPr>
        <w:spacing w:after="240"/>
        <w:ind w:firstLine="442"/>
      </w:pPr>
      <w:r w:rsidRPr="00F3799A">
        <w:t>None available as it stands at comparative level</w:t>
      </w:r>
    </w:p>
    <w:p w:rsidR="00F3799A" w:rsidRPr="00F3799A" w:rsidRDefault="00F3799A" w:rsidP="00F3799A">
      <w:pPr>
        <w:keepNext/>
        <w:spacing w:before="240" w:after="240"/>
        <w:outlineLvl w:val="2"/>
        <w:rPr>
          <w:b/>
          <w:bCs/>
          <w:i/>
          <w:iCs/>
        </w:rPr>
      </w:pPr>
      <w:r w:rsidRPr="00F3799A">
        <w:rPr>
          <w:b/>
          <w:bCs/>
          <w:i/>
          <w:iCs/>
        </w:rPr>
        <w:t>Sources and data collection</w:t>
      </w:r>
    </w:p>
    <w:p w:rsidR="00F3799A" w:rsidRPr="00F3799A" w:rsidRDefault="00F3799A" w:rsidP="00F3799A">
      <w:pPr>
        <w:spacing w:after="240"/>
        <w:ind w:firstLine="442"/>
      </w:pPr>
      <w:r w:rsidRPr="00F3799A">
        <w:t xml:space="preserve"> The data for most countries come administrative sources (insurance policies). In some countries, the data may come from national surveys.</w:t>
      </w:r>
    </w:p>
    <w:p w:rsidR="00F3799A" w:rsidRPr="00F3799A" w:rsidRDefault="00F3799A" w:rsidP="00F3799A">
      <w:pPr>
        <w:spacing w:after="240"/>
      </w:pPr>
      <w:r w:rsidRPr="00F3799A">
        <w:t>Data across OECD countries is collected annually through the OECD Health Data questionnaire.</w:t>
      </w:r>
    </w:p>
    <w:p w:rsidR="00F3799A" w:rsidRPr="00F3799A" w:rsidRDefault="00F3799A" w:rsidP="00F3799A">
      <w:pPr>
        <w:keepNext/>
        <w:spacing w:before="240" w:after="240"/>
        <w:outlineLvl w:val="2"/>
        <w:rPr>
          <w:b/>
          <w:bCs/>
          <w:i/>
          <w:iCs/>
        </w:rPr>
      </w:pPr>
      <w:r w:rsidRPr="00F3799A">
        <w:rPr>
          <w:b/>
          <w:bCs/>
          <w:i/>
          <w:iCs/>
        </w:rPr>
        <w:t>Comments and limitations</w:t>
      </w:r>
    </w:p>
    <w:p w:rsidR="00F3799A" w:rsidRPr="00F3799A" w:rsidRDefault="00F3799A" w:rsidP="00F3799A">
      <w:pPr>
        <w:spacing w:after="240"/>
        <w:ind w:firstLine="442"/>
      </w:pPr>
      <w:r w:rsidRPr="00F3799A">
        <w:t xml:space="preserve">This indicator is a key starting point to measuring progress towards universal health coverage, but it doesn’t provide information on “what services/goods are covered” and “how much of these services/goods are covered” (a 100% or less?).  These additional characteristics of public or private health care coverage can be collected separately (e.g., through the OECD Health System Characteristics Survey).  Also, the indicator of direct out-of-pocket health spending by households can be used to provides estimates of the extent of public and private health insurance coverage for different health services and goods (since out-of-pocket spending is the “residual” of what people have to pay after any public or private health insurance payment).         </w:t>
      </w:r>
    </w:p>
    <w:p w:rsidR="00F3799A" w:rsidRPr="00F3799A" w:rsidRDefault="00F3799A" w:rsidP="00F3799A">
      <w:pPr>
        <w:keepNext/>
        <w:spacing w:before="240" w:after="240"/>
        <w:outlineLvl w:val="2"/>
        <w:rPr>
          <w:b/>
          <w:bCs/>
          <w:i/>
          <w:iCs/>
        </w:rPr>
      </w:pPr>
      <w:r w:rsidRPr="00F3799A">
        <w:rPr>
          <w:b/>
          <w:bCs/>
          <w:i/>
          <w:iCs/>
        </w:rPr>
        <w:t>Gender equality issues</w:t>
      </w:r>
    </w:p>
    <w:p w:rsidR="00F3799A" w:rsidRPr="00F3799A" w:rsidRDefault="00F3799A" w:rsidP="00F3799A">
      <w:pPr>
        <w:spacing w:after="240"/>
        <w:ind w:firstLine="442"/>
      </w:pPr>
      <w:r w:rsidRPr="00F3799A">
        <w:t>To the extent that private health insurance coverage is linked to employment, women may be less covered than men. Data for global and regional monitoring</w:t>
      </w:r>
    </w:p>
    <w:p w:rsidR="00F3799A" w:rsidRPr="00F3799A" w:rsidRDefault="00F3799A" w:rsidP="00F3799A">
      <w:pPr>
        <w:keepNext/>
        <w:spacing w:before="240" w:after="240"/>
        <w:outlineLvl w:val="2"/>
        <w:rPr>
          <w:b/>
          <w:bCs/>
          <w:i/>
          <w:iCs/>
        </w:rPr>
      </w:pPr>
      <w:r w:rsidRPr="00F3799A">
        <w:rPr>
          <w:b/>
          <w:bCs/>
          <w:i/>
          <w:iCs/>
        </w:rPr>
        <w:t>Supplementary information</w:t>
      </w:r>
    </w:p>
    <w:p w:rsidR="00F3799A" w:rsidRPr="00F3799A" w:rsidRDefault="00F3799A" w:rsidP="00F3799A">
      <w:pPr>
        <w:keepNext/>
        <w:spacing w:before="240" w:after="240"/>
        <w:outlineLvl w:val="2"/>
        <w:rPr>
          <w:b/>
          <w:bCs/>
          <w:i/>
          <w:iCs/>
        </w:rPr>
      </w:pPr>
      <w:r w:rsidRPr="00F3799A">
        <w:rPr>
          <w:b/>
          <w:bCs/>
          <w:i/>
          <w:iCs/>
        </w:rPr>
        <w:t>References</w:t>
      </w:r>
    </w:p>
    <w:p w:rsidR="00F3799A" w:rsidRPr="00F3799A" w:rsidRDefault="00F3799A" w:rsidP="00F3799A">
      <w:r w:rsidRPr="00F3799A">
        <w:t>OECD Health Statistics (</w:t>
      </w:r>
      <w:hyperlink r:id="rId10" w:history="1">
        <w:r w:rsidRPr="00F3799A">
          <w:rPr>
            <w:color w:val="0000FF" w:themeColor="hyperlink"/>
            <w:u w:val="single"/>
          </w:rPr>
          <w:t>http://www.oecd.org/els/health-systems/health-data.htm</w:t>
        </w:r>
      </w:hyperlink>
      <w:r w:rsidRPr="00F3799A">
        <w:t>; see section on definitions, sources and methods)</w:t>
      </w:r>
    </w:p>
    <w:p w:rsidR="00F3799A" w:rsidRPr="00F3799A" w:rsidRDefault="00F3799A" w:rsidP="00F3799A"/>
    <w:p w:rsidR="00F3799A" w:rsidRPr="00F3799A" w:rsidRDefault="00F3799A" w:rsidP="00F3799A">
      <w:r w:rsidRPr="00F3799A">
        <w:t>Health at a Glance 2013 (</w:t>
      </w:r>
      <w:hyperlink r:id="rId11" w:history="1">
        <w:r w:rsidRPr="00F3799A">
          <w:rPr>
            <w:color w:val="0000FF" w:themeColor="hyperlink"/>
            <w:u w:val="single"/>
          </w:rPr>
          <w:t>http://www.oecd.org/els/health-systems/health-at-a-glance.htm</w:t>
        </w:r>
      </w:hyperlink>
      <w:r w:rsidRPr="00F3799A">
        <w:t>; see indicator 6.1)</w:t>
      </w:r>
    </w:p>
    <w:p w:rsidR="00F3799A" w:rsidRPr="00F3799A" w:rsidRDefault="00F3799A" w:rsidP="00F3799A"/>
    <w:p w:rsidR="00F3799A" w:rsidRPr="00F3799A" w:rsidRDefault="00F3799A" w:rsidP="00F3799A">
      <w:pPr>
        <w:spacing w:after="240"/>
        <w:ind w:firstLine="442"/>
      </w:pPr>
      <w:r w:rsidRPr="00F3799A">
        <w:t>Health at a Glance: Europe 2014 (</w:t>
      </w:r>
      <w:hyperlink r:id="rId12" w:history="1">
        <w:r w:rsidRPr="00F3799A">
          <w:rPr>
            <w:color w:val="0000FF" w:themeColor="hyperlink"/>
            <w:u w:val="single"/>
          </w:rPr>
          <w:t>http://www.oecd.org/els/health-at-a-glance-europe-23056088.htm</w:t>
        </w:r>
      </w:hyperlink>
      <w:r w:rsidRPr="00F3799A">
        <w:t>; see indicator 5.1)</w:t>
      </w:r>
    </w:p>
    <w:p w:rsidR="00F3799A" w:rsidRPr="00F3799A" w:rsidRDefault="00F3799A" w:rsidP="00F3799A">
      <w:pPr>
        <w:tabs>
          <w:tab w:val="left" w:pos="720"/>
        </w:tabs>
        <w:jc w:val="left"/>
        <w:rPr>
          <w:b/>
        </w:rPr>
      </w:pPr>
    </w:p>
    <w:p w:rsidR="00F3799A" w:rsidRDefault="00F3799A" w:rsidP="00816E10">
      <w:pPr>
        <w:pStyle w:val="BodyText"/>
        <w:rPr>
          <w:sz w:val="20"/>
        </w:rPr>
      </w:pPr>
      <w:bookmarkStart w:id="0" w:name="_GoBack"/>
      <w:bookmarkEnd w:id="0"/>
    </w:p>
    <w:p w:rsidR="00816E10" w:rsidRPr="00816E10" w:rsidRDefault="00816E10" w:rsidP="00816E10">
      <w:pPr>
        <w:pStyle w:val="BodyText"/>
      </w:pPr>
    </w:p>
    <w:p w:rsidR="001C4B7C" w:rsidRDefault="001C4B7C">
      <w:pPr>
        <w:tabs>
          <w:tab w:val="clear" w:pos="850"/>
          <w:tab w:val="clear" w:pos="1191"/>
          <w:tab w:val="clear" w:pos="1531"/>
        </w:tabs>
        <w:jc w:val="left"/>
        <w:rPr>
          <w:b/>
        </w:rPr>
      </w:pPr>
      <w:r>
        <w:rPr>
          <w:b/>
        </w:rPr>
        <w:br w:type="page"/>
      </w:r>
    </w:p>
    <w:p w:rsidR="001C4B7C" w:rsidRDefault="001C4B7C" w:rsidP="001C4B7C">
      <w:pPr>
        <w:pStyle w:val="Heading1"/>
      </w:pPr>
      <w:r>
        <w:lastRenderedPageBreak/>
        <w:fldChar w:fldCharType="begin"/>
      </w:r>
      <w:r>
        <w:instrText xml:space="preserve"> MACROBUTTON NUMBERING </w:instrText>
      </w:r>
      <w:r>
        <w:fldChar w:fldCharType="begin"/>
      </w:r>
      <w:r>
        <w:instrText xml:space="preserve"> SEQ  cpara \h \r 0</w:instrText>
      </w:r>
      <w:r>
        <w:fldChar w:fldCharType="end"/>
      </w:r>
      <w:r>
        <w:fldChar w:fldCharType="begin"/>
      </w:r>
      <w:r>
        <w:instrText xml:space="preserve"> SEQ  ccount \h</w:instrText>
      </w:r>
      <w:r>
        <w:fldChar w:fldCharType="end"/>
      </w:r>
      <w:r>
        <w:fldChar w:fldCharType="end"/>
      </w:r>
      <w:r w:rsidR="0002478D">
        <w:t xml:space="preserve"> Values and coverage of targeted and minimum pensions</w:t>
      </w:r>
    </w:p>
    <w:p w:rsidR="001C4B7C" w:rsidRDefault="001C4B7C" w:rsidP="001C4B7C">
      <w:pPr>
        <w:pStyle w:val="Heading3"/>
      </w:pPr>
      <w:r>
        <w:t>Goal and targets addressed</w:t>
      </w:r>
    </w:p>
    <w:p w:rsidR="0002478D" w:rsidRDefault="0002478D" w:rsidP="0002478D">
      <w:pPr>
        <w:pStyle w:val="BodyText"/>
        <w:ind w:firstLine="0"/>
      </w:pPr>
      <w:r>
        <w:t>Goal 1 End poverty in all its forms everywhere</w:t>
      </w:r>
    </w:p>
    <w:p w:rsidR="0002478D" w:rsidRPr="00FE0498" w:rsidRDefault="0002478D" w:rsidP="0002478D">
      <w:pPr>
        <w:pStyle w:val="BodyText"/>
      </w:pPr>
      <w:r w:rsidRPr="00FE0498">
        <w:t xml:space="preserve">Target 1.3 </w:t>
      </w:r>
      <w:r>
        <w:t xml:space="preserve"> I</w:t>
      </w:r>
      <w:r w:rsidRPr="00FE0498">
        <w:t>mplement nationally appropriate social protection systems and measures for all, including floors, and by 2030 achieve substantial coverage of the poor and the vulnerable</w:t>
      </w:r>
    </w:p>
    <w:p w:rsidR="0002478D" w:rsidRDefault="0002478D" w:rsidP="0002478D">
      <w:pPr>
        <w:pStyle w:val="BodyText"/>
      </w:pPr>
      <w:r>
        <w:t>Goal 10 Reduce inequality within and among countries</w:t>
      </w:r>
    </w:p>
    <w:p w:rsidR="0002478D" w:rsidRPr="0002478D" w:rsidRDefault="0002478D" w:rsidP="00236442">
      <w:pPr>
        <w:pStyle w:val="BodyText"/>
      </w:pPr>
      <w:r>
        <w:t xml:space="preserve">Target </w:t>
      </w:r>
      <w:r w:rsidRPr="00FE0498">
        <w:t>10.4</w:t>
      </w:r>
      <w:r>
        <w:t xml:space="preserve"> </w:t>
      </w:r>
      <w:r>
        <w:rPr>
          <w:b/>
        </w:rPr>
        <w:t>A</w:t>
      </w:r>
      <w:r>
        <w:t>dopt policies especially fiscal, wage, and social protection policies and progressively achieve greater equality</w:t>
      </w:r>
    </w:p>
    <w:p w:rsidR="00465AEA" w:rsidRPr="005577FA" w:rsidRDefault="00391054" w:rsidP="00BF1A69">
      <w:pPr>
        <w:rPr>
          <w:b/>
          <w:bCs/>
          <w:i/>
          <w:color w:val="000000"/>
          <w:bdr w:val="none" w:sz="0" w:space="0" w:color="auto" w:frame="1"/>
          <w:lang w:eastAsia="en-GB"/>
        </w:rPr>
      </w:pPr>
      <w:r>
        <w:rPr>
          <w:b/>
          <w:bCs/>
          <w:i/>
          <w:color w:val="000000"/>
          <w:bdr w:val="none" w:sz="0" w:space="0" w:color="auto" w:frame="1"/>
          <w:lang w:eastAsia="en-GB"/>
        </w:rPr>
        <w:t>Indicator</w:t>
      </w:r>
      <w:r w:rsidR="00465AEA" w:rsidRPr="005577FA">
        <w:rPr>
          <w:b/>
          <w:bCs/>
          <w:i/>
          <w:color w:val="000000"/>
          <w:bdr w:val="none" w:sz="0" w:space="0" w:color="auto" w:frame="1"/>
          <w:lang w:eastAsia="en-GB"/>
        </w:rPr>
        <w:t xml:space="preserve"> </w:t>
      </w:r>
    </w:p>
    <w:p w:rsidR="00465AEA" w:rsidRPr="005577FA" w:rsidRDefault="00465AEA" w:rsidP="00B003D9"/>
    <w:p w:rsidR="00236442" w:rsidRDefault="00236442" w:rsidP="00236442">
      <w:pPr>
        <w:pStyle w:val="ListBullet"/>
      </w:pPr>
      <w:r>
        <w:t>Net replacement rate of pensions</w:t>
      </w:r>
    </w:p>
    <w:p w:rsidR="00236442" w:rsidRPr="00796576" w:rsidRDefault="00236442" w:rsidP="00236442">
      <w:pPr>
        <w:pStyle w:val="Heading3"/>
      </w:pPr>
      <w:r w:rsidRPr="00796576">
        <w:t>Definition and method of computation</w:t>
      </w:r>
    </w:p>
    <w:p w:rsidR="00236442" w:rsidRDefault="00236442" w:rsidP="00236442">
      <w:pPr>
        <w:pStyle w:val="BodyText"/>
      </w:pPr>
      <w:r>
        <w:t xml:space="preserve">The values and the coverage of targeted and minimum pension indicators cover the relative benefit value (% of average worker earnings) and the percentage of people aged 65 and over receiving first-tier benefits (OECD Pensions at a Glance 2013 p. 123).  </w:t>
      </w:r>
    </w:p>
    <w:p w:rsidR="00236442" w:rsidRPr="00796576" w:rsidRDefault="00236442" w:rsidP="00236442">
      <w:pPr>
        <w:pStyle w:val="BodyText"/>
      </w:pPr>
      <w:r>
        <w:t>Countries are asked to report this share as</w:t>
      </w:r>
      <w:r w:rsidRPr="00155977">
        <w:t xml:space="preserve"> the </w:t>
      </w:r>
      <w:r>
        <w:t xml:space="preserve">values of the targeted and minimum pensions and the </w:t>
      </w:r>
      <w:r w:rsidRPr="00155977">
        <w:t xml:space="preserve">total number of individual recipients </w:t>
      </w:r>
      <w:r>
        <w:t>of the targeted and minimum pensions in a given year as a % of the population aged 65 and over</w:t>
      </w:r>
      <w:r w:rsidRPr="00155977">
        <w:t>.</w:t>
      </w:r>
    </w:p>
    <w:p w:rsidR="00236442" w:rsidRPr="00796576" w:rsidRDefault="00236442" w:rsidP="00236442">
      <w:pPr>
        <w:pStyle w:val="Heading3"/>
      </w:pPr>
      <w:r w:rsidRPr="00796576">
        <w:t>Sources and data collection</w:t>
      </w:r>
    </w:p>
    <w:p w:rsidR="00236442" w:rsidRPr="00796576" w:rsidRDefault="00236442" w:rsidP="00236442">
      <w:pPr>
        <w:pStyle w:val="BodyText"/>
      </w:pPr>
      <w:r>
        <w:t>Data are reported by countries drawing on available official sources. The indicators are updated every two years.</w:t>
      </w:r>
    </w:p>
    <w:p w:rsidR="00236442" w:rsidRPr="00796576" w:rsidRDefault="00236442" w:rsidP="00236442">
      <w:pPr>
        <w:pStyle w:val="Heading3"/>
      </w:pPr>
      <w:r w:rsidRPr="00796576">
        <w:t>Disaggregation</w:t>
      </w:r>
    </w:p>
    <w:p w:rsidR="00236442" w:rsidRPr="00796576" w:rsidRDefault="00236442" w:rsidP="00236442">
      <w:pPr>
        <w:pStyle w:val="BodyText"/>
      </w:pPr>
      <w:r>
        <w:t>The indicators are presented as relative benefit value and the % of individuals aged 65 and over receiving.</w:t>
      </w:r>
    </w:p>
    <w:p w:rsidR="00236442" w:rsidRPr="00796576" w:rsidRDefault="00236442" w:rsidP="00236442">
      <w:pPr>
        <w:pStyle w:val="Heading3"/>
      </w:pPr>
      <w:r w:rsidRPr="00796576">
        <w:t>Comments and limitations</w:t>
      </w:r>
    </w:p>
    <w:p w:rsidR="00236442" w:rsidRDefault="00236442" w:rsidP="00236442">
      <w:pPr>
        <w:pStyle w:val="BodyText"/>
      </w:pPr>
      <w:r w:rsidRPr="00D4456D">
        <w:rPr>
          <w:b/>
        </w:rPr>
        <w:t>Double counting:</w:t>
      </w:r>
      <w:r>
        <w:t xml:space="preserve"> recipients cannot be summed-up across schemes because some individuals receive several benefits at the same time.</w:t>
      </w:r>
    </w:p>
    <w:p w:rsidR="00236442" w:rsidRDefault="00236442" w:rsidP="00236442">
      <w:pPr>
        <w:pStyle w:val="BodyText"/>
      </w:pPr>
      <w:r w:rsidRPr="00D4456D">
        <w:rPr>
          <w:b/>
        </w:rPr>
        <w:t>Reference populations:</w:t>
      </w:r>
      <w:r>
        <w:t xml:space="preserve"> coverage indicators relate to a reference population (65+) which, usually, is the group of individuals on which benefits are targeted.</w:t>
      </w:r>
    </w:p>
    <w:p w:rsidR="00236442" w:rsidRDefault="00236442" w:rsidP="00236442">
      <w:pPr>
        <w:pStyle w:val="BodyText"/>
      </w:pPr>
      <w:r w:rsidRPr="00D4456D">
        <w:rPr>
          <w:b/>
        </w:rPr>
        <w:t>People living abroad:</w:t>
      </w:r>
      <w:r>
        <w:t xml:space="preserve"> Recipiency might be possible abroad. When significant numbers of recipients live abroad, the ratio can reach above 100% of reference population.</w:t>
      </w:r>
    </w:p>
    <w:p w:rsidR="00236442" w:rsidRPr="00796576" w:rsidRDefault="00236442" w:rsidP="00236442">
      <w:pPr>
        <w:pStyle w:val="Heading3"/>
      </w:pPr>
      <w:r w:rsidRPr="00796576">
        <w:lastRenderedPageBreak/>
        <w:t>Data for global and regional monitoring</w:t>
      </w:r>
    </w:p>
    <w:p w:rsidR="00236442" w:rsidRPr="00796576" w:rsidRDefault="00236442" w:rsidP="00236442">
      <w:pPr>
        <w:pStyle w:val="BodyText"/>
      </w:pPr>
      <w:r>
        <w:t>All OECD countries are currently included.</w:t>
      </w:r>
    </w:p>
    <w:p w:rsidR="00236442" w:rsidRPr="00796576" w:rsidRDefault="00236442" w:rsidP="00236442">
      <w:pPr>
        <w:pStyle w:val="Heading3"/>
      </w:pPr>
      <w:r w:rsidRPr="00796576">
        <w:t>Supplementary information</w:t>
      </w:r>
    </w:p>
    <w:p w:rsidR="00236442" w:rsidRPr="00796576" w:rsidRDefault="00236442" w:rsidP="00236442">
      <w:pPr>
        <w:pStyle w:val="BodyText"/>
      </w:pPr>
      <w:r>
        <w:t>A small number of countries did not answer the questionnaire and some others responded only partially. Data from publicly available sources are used in these cases whenever possible.</w:t>
      </w:r>
    </w:p>
    <w:p w:rsidR="00236442" w:rsidRPr="00796576" w:rsidRDefault="00236442" w:rsidP="00236442">
      <w:pPr>
        <w:pStyle w:val="Heading3"/>
      </w:pPr>
      <w:r w:rsidRPr="00796576">
        <w:t>References</w:t>
      </w:r>
    </w:p>
    <w:p w:rsidR="00236442" w:rsidRPr="00ED7B27" w:rsidRDefault="00236442" w:rsidP="00236442">
      <w:pPr>
        <w:pStyle w:val="BodyText"/>
      </w:pPr>
      <w:r w:rsidRPr="00ED7B27">
        <w:t>OECD Pension at a Glance 2013</w:t>
      </w:r>
    </w:p>
    <w:p w:rsidR="00236442" w:rsidRPr="00236442" w:rsidRDefault="00D41971" w:rsidP="00236442">
      <w:pPr>
        <w:pStyle w:val="BodyText"/>
        <w:rPr>
          <w:sz w:val="20"/>
        </w:rPr>
      </w:pPr>
      <w:hyperlink r:id="rId13" w:history="1">
        <w:r w:rsidR="00236442" w:rsidRPr="00ED7B27">
          <w:rPr>
            <w:rStyle w:val="Hyperlink"/>
            <w:sz w:val="20"/>
          </w:rPr>
          <w:t>http://www.oecd.org/pensions/public-pensions/OECDPensionsAtAGlance2013.pdf</w:t>
        </w:r>
      </w:hyperlink>
    </w:p>
    <w:p w:rsidR="00236442" w:rsidRDefault="00236442" w:rsidP="00236442">
      <w:pPr>
        <w:pStyle w:val="BodyText"/>
      </w:pPr>
      <w:r>
        <w:t>Value of basic, targeted and minimum pensions</w:t>
      </w:r>
    </w:p>
    <w:p w:rsidR="00236442" w:rsidRDefault="00D41971" w:rsidP="00236442">
      <w:pPr>
        <w:pStyle w:val="BodyText"/>
      </w:pPr>
      <w:hyperlink r:id="rId14" w:history="1">
        <w:r w:rsidR="00236442" w:rsidRPr="00B74203">
          <w:rPr>
            <w:rStyle w:val="Hyperlink"/>
          </w:rPr>
          <w:t>http://statlinks.oecdcode.org/812013221P1G002.XLS</w:t>
        </w:r>
      </w:hyperlink>
    </w:p>
    <w:p w:rsidR="00236442" w:rsidRDefault="00236442" w:rsidP="00236442">
      <w:pPr>
        <w:pStyle w:val="BodyText"/>
      </w:pPr>
      <w:r>
        <w:t>Coverage of targeted and minimum pensions</w:t>
      </w:r>
    </w:p>
    <w:p w:rsidR="00236442" w:rsidRDefault="00D41971" w:rsidP="00236442">
      <w:pPr>
        <w:pStyle w:val="BodyText"/>
        <w:rPr>
          <w:sz w:val="20"/>
        </w:rPr>
      </w:pPr>
      <w:hyperlink r:id="rId15" w:history="1">
        <w:r w:rsidR="00236442" w:rsidRPr="00215D7B">
          <w:rPr>
            <w:rStyle w:val="Hyperlink"/>
            <w:sz w:val="20"/>
          </w:rPr>
          <w:t>http://statlinks.oecdcode.org/812013221P1G003.XLS</w:t>
        </w:r>
      </w:hyperlink>
    </w:p>
    <w:p w:rsidR="00236442" w:rsidRPr="00ED7B27" w:rsidRDefault="00236442" w:rsidP="00236442">
      <w:pPr>
        <w:pStyle w:val="BodyText"/>
        <w:ind w:firstLine="0"/>
      </w:pPr>
    </w:p>
    <w:p w:rsidR="00465AEA" w:rsidRDefault="00465AEA" w:rsidP="001C4B7C">
      <w:pPr>
        <w:pStyle w:val="BodyText"/>
      </w:pPr>
    </w:p>
    <w:p w:rsidR="00C9046C" w:rsidRPr="00796576" w:rsidRDefault="00FE0498" w:rsidP="00C9046C">
      <w:pPr>
        <w:pStyle w:val="Heading1"/>
        <w:rPr>
          <w:sz w:val="24"/>
        </w:rPr>
      </w:pPr>
      <w:r>
        <w:br w:type="page"/>
      </w:r>
      <w:r>
        <w:lastRenderedPageBreak/>
        <w:fldChar w:fldCharType="begin"/>
      </w:r>
      <w:r>
        <w:instrText xml:space="preserve"> MACROBUTTON NUMBERING </w:instrText>
      </w:r>
      <w:r>
        <w:fldChar w:fldCharType="begin"/>
      </w:r>
      <w:r>
        <w:instrText xml:space="preserve"> SEQ  cpara \h \r 0</w:instrText>
      </w:r>
      <w:r>
        <w:fldChar w:fldCharType="end"/>
      </w:r>
      <w:r>
        <w:fldChar w:fldCharType="begin"/>
      </w:r>
      <w:r>
        <w:instrText xml:space="preserve"> SEQ  ccount \h</w:instrText>
      </w:r>
      <w:r>
        <w:fldChar w:fldCharType="end"/>
      </w:r>
      <w:r>
        <w:fldChar w:fldCharType="end"/>
      </w:r>
      <w:r w:rsidR="001C4B7C">
        <w:fldChar w:fldCharType="begin"/>
      </w:r>
      <w:r w:rsidR="001C4B7C">
        <w:instrText xml:space="preserve"> MACROBUTTON NUMBERING </w:instrText>
      </w:r>
      <w:r w:rsidR="001C4B7C">
        <w:fldChar w:fldCharType="begin"/>
      </w:r>
      <w:r w:rsidR="001C4B7C">
        <w:instrText xml:space="preserve"> SEQ  cpara \h \r 0</w:instrText>
      </w:r>
      <w:r w:rsidR="001C4B7C">
        <w:fldChar w:fldCharType="end"/>
      </w:r>
      <w:r w:rsidR="001C4B7C">
        <w:fldChar w:fldCharType="begin"/>
      </w:r>
      <w:r w:rsidR="001C4B7C">
        <w:instrText xml:space="preserve"> SEQ  ccount \h</w:instrText>
      </w:r>
      <w:r w:rsidR="001C4B7C">
        <w:fldChar w:fldCharType="end"/>
      </w:r>
      <w:r w:rsidR="001C4B7C">
        <w:fldChar w:fldCharType="end"/>
      </w:r>
      <w:r w:rsidR="00C9046C" w:rsidRPr="00C9046C">
        <w:t xml:space="preserve"> </w:t>
      </w:r>
      <w:r w:rsidR="00C9046C">
        <w:t>Benefit coverage and recipient totals (OECD SOCR database)</w:t>
      </w:r>
    </w:p>
    <w:p w:rsidR="00C9046C" w:rsidRDefault="00C9046C" w:rsidP="00C9046C">
      <w:pPr>
        <w:pStyle w:val="Heading3"/>
      </w:pPr>
      <w:r w:rsidRPr="00796576">
        <w:t>Goal and target addressed</w:t>
      </w:r>
    </w:p>
    <w:p w:rsidR="001F36E5" w:rsidRDefault="001F36E5" w:rsidP="001F36E5">
      <w:pPr>
        <w:pStyle w:val="BodyText"/>
        <w:ind w:firstLine="0"/>
      </w:pPr>
      <w:r>
        <w:t>Goal 1 End poverty in all its forms everywhere</w:t>
      </w:r>
    </w:p>
    <w:p w:rsidR="001F36E5" w:rsidRPr="00FE0498" w:rsidRDefault="001F36E5" w:rsidP="001F36E5">
      <w:pPr>
        <w:pStyle w:val="BodyText"/>
      </w:pPr>
      <w:r w:rsidRPr="00FE0498">
        <w:t xml:space="preserve">Target 1.3 </w:t>
      </w:r>
      <w:r>
        <w:t xml:space="preserve"> I</w:t>
      </w:r>
      <w:r w:rsidRPr="00FE0498">
        <w:t>mplement nationally appropriate social protection systems and measures for all, including floors, and by 2030 achieve substantial coverage of the poor and the vulnerable</w:t>
      </w:r>
    </w:p>
    <w:p w:rsidR="001F36E5" w:rsidRDefault="001F36E5" w:rsidP="001F36E5">
      <w:pPr>
        <w:pStyle w:val="BodyText"/>
      </w:pPr>
      <w:r>
        <w:t>Goal 10 Reduce inequality within and among countries</w:t>
      </w:r>
    </w:p>
    <w:p w:rsidR="001F36E5" w:rsidRPr="001F36E5" w:rsidRDefault="001F36E5" w:rsidP="001F36E5">
      <w:pPr>
        <w:pStyle w:val="BodyText"/>
      </w:pPr>
      <w:r>
        <w:t xml:space="preserve">Target </w:t>
      </w:r>
      <w:r w:rsidRPr="00FE0498">
        <w:t>10.4</w:t>
      </w:r>
      <w:r>
        <w:t xml:space="preserve"> </w:t>
      </w:r>
      <w:r>
        <w:rPr>
          <w:b/>
        </w:rPr>
        <w:t>A</w:t>
      </w:r>
      <w:r>
        <w:t>dopt policies especially fiscal, wage, and social protection policies and progressively achieve greater equality</w:t>
      </w:r>
    </w:p>
    <w:p w:rsidR="001F36E5" w:rsidRDefault="001F36E5" w:rsidP="00C9046C">
      <w:pPr>
        <w:pStyle w:val="Heading3"/>
      </w:pPr>
      <w:r>
        <w:t>Indicators</w:t>
      </w:r>
    </w:p>
    <w:p w:rsidR="001F36E5" w:rsidRPr="001F36E5" w:rsidRDefault="001F36E5" w:rsidP="001F36E5">
      <w:pPr>
        <w:pStyle w:val="ListBullet"/>
      </w:pPr>
      <w:r>
        <w:t>Number of beneficiaries of social protection</w:t>
      </w:r>
    </w:p>
    <w:p w:rsidR="00C9046C" w:rsidRPr="001F36E5" w:rsidRDefault="00C9046C" w:rsidP="00C9046C">
      <w:pPr>
        <w:pStyle w:val="Heading3"/>
      </w:pPr>
      <w:r w:rsidRPr="001F36E5">
        <w:t>Definition and method of computation</w:t>
      </w:r>
    </w:p>
    <w:p w:rsidR="00C9046C" w:rsidRPr="00796576" w:rsidRDefault="00C9046C" w:rsidP="00C9046C">
      <w:pPr>
        <w:pStyle w:val="BodyText"/>
      </w:pPr>
      <w:r>
        <w:t xml:space="preserve">Countries are asked to report annual </w:t>
      </w:r>
      <w:r w:rsidRPr="00155977">
        <w:t>stock</w:t>
      </w:r>
      <w:r>
        <w:t>s</w:t>
      </w:r>
      <w:r w:rsidRPr="00155977">
        <w:t xml:space="preserve"> of beneficiaries either </w:t>
      </w:r>
      <w:r>
        <w:t>as</w:t>
      </w:r>
      <w:r w:rsidRPr="00155977">
        <w:t xml:space="preserve"> the total number of individual recipients at a given date (point-in-time stocks), or </w:t>
      </w:r>
      <w:r>
        <w:t>as</w:t>
      </w:r>
      <w:r w:rsidRPr="00155977">
        <w:t xml:space="preserve"> an average </w:t>
      </w:r>
      <w:r>
        <w:t>(</w:t>
      </w:r>
      <w:r w:rsidRPr="00155977">
        <w:t>of point-in-time stocks</w:t>
      </w:r>
      <w:r>
        <w:t>)</w:t>
      </w:r>
      <w:r w:rsidRPr="00155977">
        <w:t xml:space="preserve"> over the </w:t>
      </w:r>
      <w:r>
        <w:t>year</w:t>
      </w:r>
      <w:r w:rsidRPr="00155977">
        <w:t>.</w:t>
      </w:r>
      <w:r>
        <w:t xml:space="preserve"> The </w:t>
      </w:r>
      <w:r>
        <w:rPr>
          <w:i/>
        </w:rPr>
        <w:t>unit of analysis</w:t>
      </w:r>
      <w:r>
        <w:t xml:space="preserve"> is the individual, i.e., </w:t>
      </w:r>
      <w:r w:rsidRPr="00155977">
        <w:t>each benefit is only attributed to the person whose social risk (e.g. unemployment or disability) generates the entitlement.</w:t>
      </w:r>
      <w:r>
        <w:t xml:space="preserve"> When </w:t>
      </w:r>
      <w:r w:rsidRPr="00155977">
        <w:t>benefits are awarded to families rather than to individuals (</w:t>
      </w:r>
      <w:r>
        <w:t xml:space="preserve">e.g., social assistance), recipient numbers </w:t>
      </w:r>
      <w:r w:rsidRPr="00155977">
        <w:t>correspond</w:t>
      </w:r>
      <w:r>
        <w:t xml:space="preserve"> to</w:t>
      </w:r>
      <w:r w:rsidRPr="00155977">
        <w:t xml:space="preserve"> the number of recipient families.</w:t>
      </w:r>
      <w:r>
        <w:t xml:space="preserve"> Children are not counted as recipients.</w:t>
      </w:r>
    </w:p>
    <w:p w:rsidR="00C9046C" w:rsidRPr="00796576" w:rsidRDefault="00C9046C" w:rsidP="00C9046C">
      <w:pPr>
        <w:pStyle w:val="Heading3"/>
      </w:pPr>
      <w:r w:rsidRPr="00796576">
        <w:t>Rationale and interpretation</w:t>
      </w:r>
    </w:p>
    <w:p w:rsidR="00C9046C" w:rsidRDefault="00C9046C" w:rsidP="00C9046C">
      <w:pPr>
        <w:pStyle w:val="BodyText"/>
      </w:pPr>
      <w:r>
        <w:t>The SOCR database collects data from administrative sources on the number of cash benefit recipients. The database covers OECD and EU countries and focuses on income/earnings replacement benefits in the following branches of social protection: Old-age, Survivors, Incapacity to work (Disability benefits), Unemployment, Social Assistance, Family and Care. Data are recorded at programme level, with data on more than 1100 income replacement programmes in 39 countries.</w:t>
      </w:r>
    </w:p>
    <w:p w:rsidR="00C9046C" w:rsidRPr="00C9046C" w:rsidRDefault="00C9046C" w:rsidP="00C9046C">
      <w:pPr>
        <w:pStyle w:val="Heading3"/>
      </w:pPr>
      <w:r w:rsidRPr="00C9046C">
        <w:t>Sources and data collection</w:t>
      </w:r>
    </w:p>
    <w:p w:rsidR="00C9046C" w:rsidRPr="00796576" w:rsidRDefault="00C9046C" w:rsidP="00C9046C">
      <w:pPr>
        <w:pStyle w:val="BodyText"/>
      </w:pPr>
      <w:r>
        <w:t>Data are reported by countries drawing on available official administrative sources. The data questionnaire is administered every two years. It collects programme-level information on recipient stocks, inflows, average amounts, key programme characteristics, measurement units and data sources.  Data is currently available for six years (2007-2012).</w:t>
      </w:r>
    </w:p>
    <w:p w:rsidR="00C9046C" w:rsidRPr="00796576" w:rsidRDefault="00C9046C" w:rsidP="00C9046C">
      <w:pPr>
        <w:pStyle w:val="Heading3"/>
      </w:pPr>
      <w:r w:rsidRPr="00796576">
        <w:t>Disaggregation</w:t>
      </w:r>
    </w:p>
    <w:p w:rsidR="00C9046C" w:rsidRPr="00796576" w:rsidRDefault="00C9046C" w:rsidP="00C9046C">
      <w:pPr>
        <w:pStyle w:val="BodyText"/>
      </w:pPr>
      <w:r>
        <w:t>SOCR questionnaires request breakdowns by sex and age (over 65, under 65).</w:t>
      </w:r>
    </w:p>
    <w:p w:rsidR="00C9046C" w:rsidRPr="00796576" w:rsidRDefault="00C9046C" w:rsidP="00C9046C">
      <w:pPr>
        <w:pStyle w:val="Heading3"/>
      </w:pPr>
      <w:r w:rsidRPr="00796576">
        <w:lastRenderedPageBreak/>
        <w:t>Comments and limitations</w:t>
      </w:r>
    </w:p>
    <w:p w:rsidR="00C9046C" w:rsidRDefault="00C9046C" w:rsidP="00C9046C">
      <w:pPr>
        <w:pStyle w:val="BodyText"/>
      </w:pPr>
      <w:r w:rsidRPr="00D4456D">
        <w:rPr>
          <w:b/>
        </w:rPr>
        <w:t>Double counting:</w:t>
      </w:r>
      <w:r>
        <w:t xml:space="preserve"> recipient stocks cannot be summed-up across branches because some individuals could (and do) receive several benefits at the same time. Double counting can also arise across programmes within a branch (e.g., Old-age and Survivors pensions). To retain flexibility regarding the level of aggregation, data are therefore reported at the programme level.</w:t>
      </w:r>
    </w:p>
    <w:p w:rsidR="00C9046C" w:rsidRDefault="00C9046C" w:rsidP="00C9046C">
      <w:pPr>
        <w:pStyle w:val="BodyText"/>
      </w:pPr>
      <w:r w:rsidRPr="00D4456D">
        <w:rPr>
          <w:b/>
        </w:rPr>
        <w:t>Reference populations:</w:t>
      </w:r>
      <w:r>
        <w:t xml:space="preserve"> coverage indicators relate to a reference population which, usually, is the group of individuals on which benefits are targeted. To retain flexibility, SOCR does not report coverage rates but instead includes a “reference series” of several potentially meaningful reference populations that can be used for constructing coverage rates (e.g., number of unemployed, number of working-age individuals, number of poor families).</w:t>
      </w:r>
    </w:p>
    <w:p w:rsidR="00C9046C" w:rsidRDefault="00C9046C" w:rsidP="00C9046C">
      <w:pPr>
        <w:pStyle w:val="BodyText"/>
      </w:pPr>
      <w:r w:rsidRPr="00D4456D">
        <w:rPr>
          <w:b/>
        </w:rPr>
        <w:t>People living abroad:</w:t>
      </w:r>
      <w:r>
        <w:t xml:space="preserve"> SOCR data refer to the number of benefits paid, regardless of recipients’ residence. When significant numbers of recipients live abroad, this can affect the appropriate choice of reference population.</w:t>
      </w:r>
    </w:p>
    <w:p w:rsidR="00C9046C" w:rsidRPr="00796576" w:rsidRDefault="00C9046C" w:rsidP="00C9046C">
      <w:pPr>
        <w:pStyle w:val="Heading3"/>
      </w:pPr>
      <w:r w:rsidRPr="00796576">
        <w:t>Gender equality issues</w:t>
      </w:r>
    </w:p>
    <w:p w:rsidR="00C9046C" w:rsidRPr="00796576" w:rsidRDefault="00C9046C" w:rsidP="00C9046C">
      <w:pPr>
        <w:pStyle w:val="BodyText"/>
        <w:ind w:firstLine="0"/>
      </w:pPr>
      <w:r>
        <w:tab/>
        <w:t>SOCR provides breakdowns by sex.</w:t>
      </w:r>
    </w:p>
    <w:p w:rsidR="00C9046C" w:rsidRPr="00796576" w:rsidRDefault="00C9046C" w:rsidP="00C9046C">
      <w:pPr>
        <w:pStyle w:val="Heading3"/>
      </w:pPr>
      <w:r w:rsidRPr="00796576">
        <w:t>Data for global and regional monitoring</w:t>
      </w:r>
    </w:p>
    <w:p w:rsidR="00C9046C" w:rsidRPr="00796576" w:rsidRDefault="00C9046C" w:rsidP="00C9046C">
      <w:pPr>
        <w:pStyle w:val="BodyText"/>
      </w:pPr>
      <w:r>
        <w:t>39 countries are currently included in SOCR, allowing for monitoring of recipient trends at country and supra-national levels (such as OECD, EU, Euro zone).</w:t>
      </w:r>
    </w:p>
    <w:p w:rsidR="00C9046C" w:rsidRPr="00796576" w:rsidRDefault="00C9046C" w:rsidP="00C9046C">
      <w:pPr>
        <w:pStyle w:val="Heading3"/>
      </w:pPr>
      <w:r w:rsidRPr="00796576">
        <w:t>Supplementary information</w:t>
      </w:r>
    </w:p>
    <w:p w:rsidR="00C9046C" w:rsidRPr="00796576" w:rsidRDefault="00C9046C" w:rsidP="00C9046C">
      <w:pPr>
        <w:pStyle w:val="BodyText"/>
      </w:pPr>
      <w:r>
        <w:t>A small number of countries did not answer the questionnaire and some others responded only partially. Data from publicly available sources are used in these cases whenever possible.</w:t>
      </w:r>
    </w:p>
    <w:p w:rsidR="00C9046C" w:rsidRPr="00796576" w:rsidRDefault="00C9046C" w:rsidP="00C9046C">
      <w:pPr>
        <w:pStyle w:val="Heading3"/>
      </w:pPr>
      <w:r w:rsidRPr="00796576">
        <w:t>References</w:t>
      </w:r>
    </w:p>
    <w:p w:rsidR="00C9046C" w:rsidRDefault="00D41971" w:rsidP="00C9046C">
      <w:pPr>
        <w:pStyle w:val="BodyText"/>
        <w:rPr>
          <w:sz w:val="18"/>
        </w:rPr>
      </w:pPr>
      <w:hyperlink r:id="rId16" w:history="1">
        <w:r w:rsidR="00C9046C" w:rsidRPr="00C9308D">
          <w:rPr>
            <w:rStyle w:val="Hyperlink"/>
            <w:sz w:val="18"/>
          </w:rPr>
          <w:t>http://www.oecd.org/els/social/statistics</w:t>
        </w:r>
      </w:hyperlink>
    </w:p>
    <w:p w:rsidR="00C9046C" w:rsidRDefault="00C9046C" w:rsidP="00C9046C">
      <w:pPr>
        <w:rPr>
          <w:sz w:val="18"/>
        </w:rPr>
      </w:pPr>
    </w:p>
    <w:p w:rsidR="00C9046C" w:rsidRPr="00D1076A" w:rsidRDefault="00C9046C" w:rsidP="00C9046C">
      <w:pPr>
        <w:pStyle w:val="BodyText"/>
      </w:pPr>
      <w:r w:rsidRPr="00D1076A">
        <w:t>OECD (2014), Society at a Glance 2014: OECD Social Indicators, OECD Publishing.</w:t>
      </w:r>
    </w:p>
    <w:p w:rsidR="00C9046C" w:rsidRDefault="00D41971" w:rsidP="00C9046C">
      <w:pPr>
        <w:rPr>
          <w:sz w:val="18"/>
        </w:rPr>
      </w:pPr>
      <w:hyperlink r:id="rId17" w:history="1">
        <w:r w:rsidR="00C9046C" w:rsidRPr="002632AA">
          <w:rPr>
            <w:rStyle w:val="Hyperlink"/>
            <w:sz w:val="18"/>
          </w:rPr>
          <w:t>http://dx.doi.org/10.1787/soc_glance-2014-en</w:t>
        </w:r>
      </w:hyperlink>
    </w:p>
    <w:p w:rsidR="00C9046C" w:rsidRDefault="00C9046C" w:rsidP="00C9046C">
      <w:pPr>
        <w:rPr>
          <w:sz w:val="18"/>
        </w:rPr>
      </w:pPr>
    </w:p>
    <w:p w:rsidR="00C9046C" w:rsidRPr="005C1041" w:rsidRDefault="00C9046C" w:rsidP="00C9046C">
      <w:pPr>
        <w:pStyle w:val="BodyText"/>
      </w:pPr>
      <w:r w:rsidRPr="005C1041">
        <w:t>Immervoll, H., S. P. Jenkins and S. Königs (2015), “Are</w:t>
      </w:r>
      <w:r>
        <w:t xml:space="preserve"> </w:t>
      </w:r>
      <w:r w:rsidRPr="005C1041">
        <w:t>Recipients of Social Assistance 'Benefit Dependent'?:</w:t>
      </w:r>
      <w:r>
        <w:t xml:space="preserve"> </w:t>
      </w:r>
      <w:r w:rsidRPr="005C1041">
        <w:t>Concepts, Measurement and Results for Selected Countries”,</w:t>
      </w:r>
      <w:r>
        <w:t xml:space="preserve"> </w:t>
      </w:r>
      <w:r w:rsidRPr="005C1041">
        <w:t>OECD Social, Employment and Migration Working Papers,</w:t>
      </w:r>
      <w:r>
        <w:t xml:space="preserve"> </w:t>
      </w:r>
      <w:r w:rsidRPr="005C1041">
        <w:t>No. 162, OECD Publishing.</w:t>
      </w:r>
    </w:p>
    <w:p w:rsidR="00C9046C" w:rsidRDefault="00D41971" w:rsidP="00C9046C">
      <w:pPr>
        <w:rPr>
          <w:sz w:val="18"/>
        </w:rPr>
      </w:pPr>
      <w:hyperlink r:id="rId18" w:history="1">
        <w:r w:rsidR="00C9046C" w:rsidRPr="002632AA">
          <w:rPr>
            <w:rStyle w:val="Hyperlink"/>
            <w:sz w:val="18"/>
          </w:rPr>
          <w:t>http://dx.doi.org/10.1787/5jxrcmgpc6mn-en</w:t>
        </w:r>
      </w:hyperlink>
    </w:p>
    <w:p w:rsidR="001F36E5" w:rsidRDefault="001F36E5">
      <w:pPr>
        <w:tabs>
          <w:tab w:val="clear" w:pos="850"/>
          <w:tab w:val="clear" w:pos="1191"/>
          <w:tab w:val="clear" w:pos="1531"/>
        </w:tabs>
        <w:jc w:val="left"/>
      </w:pPr>
      <w:r>
        <w:br w:type="page"/>
      </w:r>
    </w:p>
    <w:p w:rsidR="001F36E5" w:rsidRPr="001F36E5" w:rsidRDefault="001F36E5" w:rsidP="001F36E5">
      <w:pPr>
        <w:pStyle w:val="PartHeading"/>
      </w:pPr>
      <w:r>
        <w:lastRenderedPageBreak/>
        <w:t>Out-of-work benefits and income adequacy</w:t>
      </w:r>
      <w:r w:rsidRPr="00796576">
        <w:t xml:space="preserve"> (</w:t>
      </w:r>
      <w:r>
        <w:t>OECD Tax-benefit models and database</w:t>
      </w:r>
      <w:r w:rsidRPr="00796576">
        <w:t>)</w:t>
      </w:r>
    </w:p>
    <w:p w:rsidR="001F36E5" w:rsidRPr="00796576" w:rsidRDefault="001F36E5" w:rsidP="001F36E5">
      <w:pPr>
        <w:pStyle w:val="Heading3"/>
      </w:pPr>
      <w:r w:rsidRPr="00796576">
        <w:t>Goal and target addressed</w:t>
      </w:r>
    </w:p>
    <w:p w:rsidR="001F36E5" w:rsidRDefault="001F36E5" w:rsidP="001F36E5">
      <w:pPr>
        <w:pStyle w:val="BodyText"/>
        <w:ind w:firstLine="0"/>
      </w:pPr>
      <w:r>
        <w:t>Goal 1 End poverty in all its forms everywhere</w:t>
      </w:r>
    </w:p>
    <w:p w:rsidR="001F36E5" w:rsidRPr="00FE0498" w:rsidRDefault="001F36E5" w:rsidP="001F36E5">
      <w:pPr>
        <w:pStyle w:val="BodyText"/>
      </w:pPr>
      <w:r w:rsidRPr="00FE0498">
        <w:t xml:space="preserve">Target 1.3 </w:t>
      </w:r>
      <w:r>
        <w:t xml:space="preserve"> I</w:t>
      </w:r>
      <w:r w:rsidRPr="00FE0498">
        <w:t>mplement nationally appropriate social protection systems and measures for all, including floors, and by 2030 achieve substantial coverage of the poor and the vulnerable</w:t>
      </w:r>
    </w:p>
    <w:p w:rsidR="001F36E5" w:rsidRDefault="001F36E5" w:rsidP="001F36E5">
      <w:pPr>
        <w:pStyle w:val="BodyText"/>
      </w:pPr>
      <w:r>
        <w:t>Goal 10 Reduce inequality within and among countries</w:t>
      </w:r>
    </w:p>
    <w:p w:rsidR="001F36E5" w:rsidRPr="001F36E5" w:rsidRDefault="001F36E5" w:rsidP="001F36E5">
      <w:pPr>
        <w:pStyle w:val="BodyText"/>
      </w:pPr>
      <w:r>
        <w:t xml:space="preserve">Target </w:t>
      </w:r>
      <w:r w:rsidRPr="00FE0498">
        <w:t>10.4</w:t>
      </w:r>
      <w:r>
        <w:t xml:space="preserve"> </w:t>
      </w:r>
      <w:r>
        <w:rPr>
          <w:b/>
        </w:rPr>
        <w:t>A</w:t>
      </w:r>
      <w:r>
        <w:t>dopt policies especially fiscal, wage, and social protection policies and progressively achieve greater equality</w:t>
      </w:r>
    </w:p>
    <w:p w:rsidR="00E214F2" w:rsidRDefault="00E214F2" w:rsidP="001F36E5">
      <w:pPr>
        <w:pStyle w:val="Heading3"/>
      </w:pPr>
      <w:r>
        <w:t>Indicator</w:t>
      </w:r>
    </w:p>
    <w:p w:rsidR="00E214F2" w:rsidRPr="00E214F2" w:rsidRDefault="00E214F2" w:rsidP="00E214F2">
      <w:pPr>
        <w:pStyle w:val="ListBullet"/>
      </w:pPr>
      <w:r>
        <w:t>Income adequacy</w:t>
      </w:r>
    </w:p>
    <w:p w:rsidR="001F36E5" w:rsidRPr="00E214F2" w:rsidRDefault="001F36E5" w:rsidP="001F36E5">
      <w:pPr>
        <w:pStyle w:val="Heading3"/>
      </w:pPr>
      <w:r w:rsidRPr="00E214F2">
        <w:t>Definition and method of computation</w:t>
      </w:r>
    </w:p>
    <w:p w:rsidR="001F36E5" w:rsidRDefault="00E214F2" w:rsidP="001F36E5">
      <w:pPr>
        <w:pStyle w:val="BodyText"/>
      </w:pPr>
      <w:r>
        <w:t>I</w:t>
      </w:r>
      <w:r w:rsidR="001F36E5">
        <w:t>ncome adequacy is commonly evaluated in relation to a relative poverty line (50% of median household income) but other definitions are easily implemented. Benefit replacement rates are commonly evaluated at fractions of the average wage (such as 67% or 100%) but other definitions are easily implemented. For each combination of family/employment situation, income calculations account for benefits and taxes that are typically available to families in the respective situations. These include unemployment benefits, social assistance or minimum-income benefits, cash housing benefits, family benefits, in-work benefits, income taxes, social contributions and other mandatory deductions (such as mandatory contributions to private insurance funds).</w:t>
      </w:r>
    </w:p>
    <w:p w:rsidR="001F36E5" w:rsidRPr="00796576" w:rsidRDefault="001F36E5" w:rsidP="001F36E5">
      <w:pPr>
        <w:pStyle w:val="Heading3"/>
      </w:pPr>
      <w:r w:rsidRPr="00796576">
        <w:t>Rationale and interpretation</w:t>
      </w:r>
    </w:p>
    <w:p w:rsidR="001F36E5" w:rsidRPr="00FA6B30" w:rsidRDefault="001F36E5" w:rsidP="001F36E5">
      <w:pPr>
        <w:pStyle w:val="BodyText"/>
      </w:pPr>
      <w:r>
        <w:t>A series of income-adequacy indicators show family cash incomes after accounting for cash social benefits and taxes. The indicators are constructed by applying formal benefit entitlement rules to different family situations and labour-market circumstances. Net or gross replacement rates can be constructed by comparing incomes in and out of work. Family income levels can also be related to poverty thresholds in order to evaluate the extent to which benefit provisions reduce the extent or depth of poverty.</w:t>
      </w:r>
    </w:p>
    <w:p w:rsidR="001F36E5" w:rsidRDefault="001F36E5" w:rsidP="001F36E5">
      <w:pPr>
        <w:rPr>
          <w:sz w:val="18"/>
        </w:rPr>
      </w:pPr>
    </w:p>
    <w:p w:rsidR="001F36E5" w:rsidRPr="001F36E5" w:rsidRDefault="001F36E5" w:rsidP="001F36E5">
      <w:pPr>
        <w:pStyle w:val="BodyText"/>
      </w:pPr>
      <w:r w:rsidRPr="001F36E5">
        <w:t>Model calculations provide a family perspective on the functioning of benefit provisions, accounting for the interaction of different parts of social protection and redistribution policies.</w:t>
      </w:r>
    </w:p>
    <w:p w:rsidR="001F36E5" w:rsidRPr="00796576" w:rsidRDefault="001F36E5" w:rsidP="001F36E5">
      <w:pPr>
        <w:pStyle w:val="Heading3"/>
      </w:pPr>
      <w:r w:rsidRPr="00796576">
        <w:t>Sources and data collection</w:t>
      </w:r>
    </w:p>
    <w:p w:rsidR="00E214F2" w:rsidRPr="00E214F2" w:rsidRDefault="00E214F2" w:rsidP="00E214F2">
      <w:pPr>
        <w:pStyle w:val="BodyText"/>
      </w:pPr>
      <w:r>
        <w:t xml:space="preserve">Model calculations are </w:t>
      </w:r>
      <w:r w:rsidRPr="00C156E8">
        <w:t>part of the OECD’s database on tax-benefit policies, which monitors redistribution policies for working-age people and their families and allows for comparisons of income adequacy and work incentives over time and across countries</w:t>
      </w:r>
      <w:r>
        <w:t>.</w:t>
      </w:r>
    </w:p>
    <w:p w:rsidR="001F36E5" w:rsidRPr="00796576" w:rsidRDefault="001F36E5" w:rsidP="001F36E5">
      <w:pPr>
        <w:pStyle w:val="BodyText"/>
      </w:pPr>
      <w:r>
        <w:t>Models and indicator results are updated annually. R</w:t>
      </w:r>
      <w:r w:rsidRPr="007C22B9">
        <w:t>ules an</w:t>
      </w:r>
      <w:r>
        <w:t xml:space="preserve">d regulations underlying the model calculations are provided by official ministry contacts in each country. These are translated into formal </w:t>
      </w:r>
      <w:r>
        <w:lastRenderedPageBreak/>
        <w:t xml:space="preserve">model code by the OECD Secretariat and, in turn, validated by country contacts. Models and documentation are freely available on the Internet. </w:t>
      </w:r>
    </w:p>
    <w:p w:rsidR="001F36E5" w:rsidRPr="00796576" w:rsidRDefault="001F36E5" w:rsidP="001F36E5">
      <w:pPr>
        <w:pStyle w:val="Heading3"/>
      </w:pPr>
      <w:r w:rsidRPr="00796576">
        <w:t>Disaggregation</w:t>
      </w:r>
    </w:p>
    <w:p w:rsidR="001F36E5" w:rsidRPr="00796576" w:rsidRDefault="001F36E5" w:rsidP="001F36E5">
      <w:pPr>
        <w:pStyle w:val="BodyText"/>
      </w:pPr>
      <w:r>
        <w:t>Models and indicator results can be disaggregated by earnings level, unemployment duration and family type (single and couple with and without children).</w:t>
      </w:r>
    </w:p>
    <w:p w:rsidR="001F36E5" w:rsidRPr="00796576" w:rsidRDefault="001F36E5" w:rsidP="001F36E5">
      <w:pPr>
        <w:pStyle w:val="Heading3"/>
      </w:pPr>
      <w:r w:rsidRPr="00796576">
        <w:t>Comments and limitations</w:t>
      </w:r>
    </w:p>
    <w:p w:rsidR="001F36E5" w:rsidRPr="00796576" w:rsidRDefault="001F36E5" w:rsidP="001F36E5">
      <w:pPr>
        <w:pStyle w:val="BodyText"/>
      </w:pPr>
      <w:r>
        <w:t xml:space="preserve">Results are useful as policy indicators. They are not outcome indicators. The choice of family types aims to illustrate the mechanics of the redistribution system, but does not aim for representativeness of populations across countries. </w:t>
      </w:r>
    </w:p>
    <w:p w:rsidR="001F36E5" w:rsidRPr="00796576" w:rsidRDefault="001F36E5" w:rsidP="001F36E5">
      <w:pPr>
        <w:pStyle w:val="Heading3"/>
      </w:pPr>
      <w:r w:rsidRPr="00796576">
        <w:t>Gender equality issues</w:t>
      </w:r>
    </w:p>
    <w:p w:rsidR="001F36E5" w:rsidRPr="00796576" w:rsidRDefault="001F36E5" w:rsidP="001F36E5">
      <w:pPr>
        <w:pStyle w:val="BodyText"/>
      </w:pPr>
      <w:r>
        <w:t>Model calculations have been used to analyse incomes and work incentives of women, including mothers of young children.</w:t>
      </w:r>
    </w:p>
    <w:p w:rsidR="001F36E5" w:rsidRPr="00796576" w:rsidRDefault="001F36E5" w:rsidP="001F36E5">
      <w:pPr>
        <w:pStyle w:val="Heading3"/>
      </w:pPr>
      <w:r w:rsidRPr="00796576">
        <w:t>Data for global and regional monitoring</w:t>
      </w:r>
    </w:p>
    <w:p w:rsidR="001F36E5" w:rsidRPr="00796576" w:rsidRDefault="001F36E5" w:rsidP="001F36E5">
      <w:pPr>
        <w:pStyle w:val="BodyText"/>
      </w:pPr>
      <w:r>
        <w:t>Models and indicators cover all OECD and EU countries and are available for 2001 to 2013 for most of these countries.</w:t>
      </w:r>
    </w:p>
    <w:p w:rsidR="001F36E5" w:rsidRPr="00796576" w:rsidRDefault="001F36E5" w:rsidP="001F36E5">
      <w:pPr>
        <w:pStyle w:val="Heading3"/>
      </w:pPr>
      <w:r w:rsidRPr="00796576">
        <w:t>Supplementary information</w:t>
      </w:r>
    </w:p>
    <w:p w:rsidR="001F36E5" w:rsidRPr="00796576" w:rsidRDefault="001F36E5" w:rsidP="001F36E5">
      <w:pPr>
        <w:rPr>
          <w:sz w:val="18"/>
        </w:rPr>
      </w:pPr>
    </w:p>
    <w:p w:rsidR="001F36E5" w:rsidRDefault="001F36E5" w:rsidP="001F36E5">
      <w:pPr>
        <w:pStyle w:val="Heading3"/>
      </w:pPr>
      <w:r w:rsidRPr="00796576">
        <w:t>References</w:t>
      </w:r>
    </w:p>
    <w:p w:rsidR="001F36E5" w:rsidRPr="00315BE3" w:rsidRDefault="00D41971" w:rsidP="001F36E5">
      <w:pPr>
        <w:pStyle w:val="BodyText"/>
      </w:pPr>
      <w:hyperlink r:id="rId19" w:history="1">
        <w:r w:rsidR="001F36E5" w:rsidRPr="00BE6655">
          <w:rPr>
            <w:rStyle w:val="Hyperlink"/>
            <w:sz w:val="18"/>
          </w:rPr>
          <w:t>http://www.oecd.org/els/benefits-and-wages.htm</w:t>
        </w:r>
      </w:hyperlink>
    </w:p>
    <w:p w:rsidR="001F36E5" w:rsidRDefault="001F36E5" w:rsidP="001F36E5">
      <w:pPr>
        <w:pStyle w:val="BodyText"/>
      </w:pPr>
      <w:r>
        <w:t xml:space="preserve">FOCUS on Minimum wages after the crisis: Making them pay. OECD, May 2015. </w:t>
      </w:r>
    </w:p>
    <w:p w:rsidR="001F36E5" w:rsidRDefault="00D41971" w:rsidP="001F36E5">
      <w:pPr>
        <w:rPr>
          <w:sz w:val="18"/>
        </w:rPr>
      </w:pPr>
      <w:hyperlink r:id="rId20" w:history="1">
        <w:r w:rsidR="001F36E5" w:rsidRPr="002632AA">
          <w:rPr>
            <w:rStyle w:val="Hyperlink"/>
            <w:sz w:val="18"/>
          </w:rPr>
          <w:t>http://www.oecd.org/social/Focus-on-Minimum-Wages-after-the-crisis-2015.pdf</w:t>
        </w:r>
      </w:hyperlink>
    </w:p>
    <w:p w:rsidR="001F36E5" w:rsidRDefault="001F36E5" w:rsidP="001F36E5">
      <w:pPr>
        <w:rPr>
          <w:sz w:val="18"/>
        </w:rPr>
      </w:pPr>
    </w:p>
    <w:p w:rsidR="001F36E5" w:rsidRDefault="001F36E5" w:rsidP="001F36E5">
      <w:pPr>
        <w:pStyle w:val="BodyText"/>
      </w:pPr>
      <w:r w:rsidRPr="00D1076A">
        <w:t>OECD (2014), Society at a Glan</w:t>
      </w:r>
      <w:r>
        <w:t xml:space="preserve">ce 2014: OECD Social Indicators. </w:t>
      </w:r>
      <w:hyperlink r:id="rId21" w:history="1">
        <w:r w:rsidRPr="002632AA">
          <w:rPr>
            <w:rStyle w:val="Hyperlink"/>
            <w:sz w:val="18"/>
          </w:rPr>
          <w:t>http://dx.doi.org/10.1787/soc_glance-2014-en</w:t>
        </w:r>
      </w:hyperlink>
    </w:p>
    <w:p w:rsidR="00125645" w:rsidRPr="00C9046C" w:rsidRDefault="00125645" w:rsidP="00C9046C">
      <w:pPr>
        <w:tabs>
          <w:tab w:val="clear" w:pos="850"/>
          <w:tab w:val="clear" w:pos="1191"/>
          <w:tab w:val="clear" w:pos="1531"/>
        </w:tabs>
        <w:jc w:val="left"/>
      </w:pPr>
    </w:p>
    <w:sectPr w:rsidR="00125645" w:rsidRPr="00C9046C" w:rsidSect="00465AEA">
      <w:headerReference w:type="even" r:id="rId22"/>
      <w:footerReference w:type="even" r:id="rId23"/>
      <w:footerReference w:type="default" r:id="rId24"/>
      <w:endnotePr>
        <w:numFmt w:val="decimal"/>
      </w:endnotePr>
      <w:pgSz w:w="11906" w:h="16838"/>
      <w:pgMar w:top="1984" w:right="1247" w:bottom="1814" w:left="1191" w:header="1247" w:footer="124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971" w:rsidRDefault="00D41971">
      <w:r>
        <w:separator/>
      </w:r>
    </w:p>
  </w:endnote>
  <w:endnote w:type="continuationSeparator" w:id="0">
    <w:p w:rsidR="00D41971" w:rsidRDefault="00D4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rsidP="00465A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25645" w:rsidRDefault="001256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EA" w:rsidRDefault="00465AEA" w:rsidP="003758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3799A">
      <w:rPr>
        <w:rStyle w:val="PageNumber"/>
        <w:noProof/>
      </w:rPr>
      <w:t>2</w:t>
    </w:r>
    <w:r>
      <w:rPr>
        <w:rStyle w:val="PageNumber"/>
      </w:rPr>
      <w:fldChar w:fldCharType="end"/>
    </w:r>
  </w:p>
  <w:p w:rsidR="00125645" w:rsidRPr="00465AEA" w:rsidRDefault="00125645" w:rsidP="00465A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971" w:rsidRDefault="00D41971">
      <w:r>
        <w:separator/>
      </w:r>
    </w:p>
  </w:footnote>
  <w:footnote w:type="continuationSeparator" w:id="0">
    <w:p w:rsidR="00D41971" w:rsidRDefault="00D41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pPr>
      <w:pStyle w:val="Header"/>
    </w:pPr>
    <w:r>
      <w:t>AAA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B7A5EC8"/>
    <w:lvl w:ilvl="0">
      <w:start w:val="1"/>
      <w:numFmt w:val="bullet"/>
      <w:lvlText w:val=""/>
      <w:lvlJc w:val="left"/>
      <w:pPr>
        <w:tabs>
          <w:tab w:val="num" w:pos="360"/>
        </w:tabs>
        <w:ind w:left="360" w:hanging="360"/>
      </w:pPr>
      <w:rPr>
        <w:rFonts w:ascii="Symbol" w:hAnsi="Symbol" w:hint="default"/>
      </w:rPr>
    </w:lvl>
  </w:abstractNum>
  <w:abstractNum w:abstractNumId="1">
    <w:nsid w:val="014C6DA8"/>
    <w:multiLevelType w:val="hybridMultilevel"/>
    <w:tmpl w:val="4DF8B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F90F62"/>
    <w:multiLevelType w:val="singleLevel"/>
    <w:tmpl w:val="41606694"/>
    <w:name w:val="templateBullet1"/>
    <w:lvl w:ilvl="0">
      <w:start w:val="1"/>
      <w:numFmt w:val="bullet"/>
      <w:pStyle w:val="ListBullet"/>
      <w:lvlText w:val="·"/>
      <w:lvlJc w:val="left"/>
      <w:pPr>
        <w:tabs>
          <w:tab w:val="num" w:pos="850"/>
        </w:tabs>
        <w:ind w:left="850" w:hanging="408"/>
      </w:pPr>
      <w:rPr>
        <w:rFonts w:ascii="Symbol" w:hAnsi="Symbol" w:cs="Times New Roman" w:hint="default"/>
        <w:b w:val="0"/>
        <w:i w:val="0"/>
        <w:sz w:val="22"/>
      </w:rPr>
    </w:lvl>
  </w:abstractNum>
  <w:abstractNum w:abstractNumId="3">
    <w:nsid w:val="0C890C55"/>
    <w:multiLevelType w:val="singleLevel"/>
    <w:tmpl w:val="15B65924"/>
    <w:name w:val="templateBulletBox3"/>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4">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5">
    <w:nsid w:val="0DEA6B1D"/>
    <w:multiLevelType w:val="singleLevel"/>
    <w:tmpl w:val="D5A6E36A"/>
    <w:styleLink w:val="NumericNote"/>
    <w:lvl w:ilvl="0">
      <w:start w:val="1"/>
      <w:numFmt w:val="decimal"/>
      <w:lvlText w:val="%1."/>
      <w:lvlJc w:val="left"/>
      <w:pPr>
        <w:tabs>
          <w:tab w:val="num" w:pos="408"/>
        </w:tabs>
        <w:ind w:left="408" w:hanging="408"/>
      </w:pPr>
    </w:lvl>
  </w:abstractNum>
  <w:abstractNum w:abstractNumId="6">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7">
    <w:nsid w:val="14FD5E8A"/>
    <w:multiLevelType w:val="hybridMultilevel"/>
    <w:tmpl w:val="202C8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57968A9"/>
    <w:multiLevelType w:val="singleLevel"/>
    <w:tmpl w:val="D5A6E36A"/>
    <w:name w:val="NumericNote"/>
    <w:lvl w:ilvl="0">
      <w:start w:val="1"/>
      <w:numFmt w:val="decimal"/>
      <w:lvlText w:val="%1."/>
      <w:lvlJc w:val="left"/>
      <w:pPr>
        <w:tabs>
          <w:tab w:val="num" w:pos="850"/>
        </w:tabs>
        <w:ind w:left="850" w:hanging="408"/>
      </w:pPr>
    </w:lvl>
  </w:abstractNum>
  <w:abstractNum w:abstractNumId="9">
    <w:nsid w:val="18DF53A0"/>
    <w:multiLevelType w:val="hybridMultilevel"/>
    <w:tmpl w:val="E5DCB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7397F89"/>
    <w:multiLevelType w:val="singleLevel"/>
    <w:tmpl w:val="60A0508A"/>
    <w:name w:val="AlphaNote"/>
    <w:lvl w:ilvl="0">
      <w:start w:val="1"/>
      <w:numFmt w:val="lowerLetter"/>
      <w:lvlText w:val="%1."/>
      <w:lvlJc w:val="left"/>
      <w:pPr>
        <w:tabs>
          <w:tab w:val="num" w:pos="850"/>
        </w:tabs>
        <w:ind w:left="850" w:hanging="408"/>
      </w:pPr>
    </w:lvl>
  </w:abstractNum>
  <w:abstractNum w:abstractNumId="11">
    <w:nsid w:val="2ACF6F84"/>
    <w:multiLevelType w:val="singleLevel"/>
    <w:tmpl w:val="D51E568A"/>
    <w:name w:val="templateBullet2"/>
    <w:lvl w:ilvl="0">
      <w:start w:val="1"/>
      <w:numFmt w:val="bullet"/>
      <w:pStyle w:val="ListBullet2"/>
      <w:lvlText w:val="-"/>
      <w:lvlJc w:val="left"/>
      <w:pPr>
        <w:tabs>
          <w:tab w:val="num" w:pos="1190"/>
        </w:tabs>
        <w:ind w:left="1190" w:hanging="340"/>
      </w:pPr>
      <w:rPr>
        <w:rFonts w:ascii="Symbol" w:hAnsi="Symbol" w:cs="Times New Roman" w:hint="default"/>
        <w:b w:val="0"/>
        <w:i w:val="0"/>
        <w:sz w:val="22"/>
      </w:rPr>
    </w:lvl>
  </w:abstractNum>
  <w:abstractNum w:abstractNumId="12">
    <w:nsid w:val="385D0A84"/>
    <w:multiLevelType w:val="multilevel"/>
    <w:tmpl w:val="7F148E5C"/>
    <w:name w:val="templateNumberBox"/>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8518"/>
        </w:tabs>
        <w:ind w:left="8518" w:hanging="360"/>
      </w:pPr>
    </w:lvl>
    <w:lvl w:ilvl="4">
      <w:start w:val="1"/>
      <w:numFmt w:val="lowerLetter"/>
      <w:lvlText w:val="(%5)"/>
      <w:lvlJc w:val="left"/>
      <w:pPr>
        <w:tabs>
          <w:tab w:val="num" w:pos="8878"/>
        </w:tabs>
        <w:ind w:left="8878" w:hanging="360"/>
      </w:pPr>
    </w:lvl>
    <w:lvl w:ilvl="5">
      <w:start w:val="1"/>
      <w:numFmt w:val="lowerRoman"/>
      <w:lvlText w:val="(%6)"/>
      <w:lvlJc w:val="left"/>
      <w:pPr>
        <w:tabs>
          <w:tab w:val="num" w:pos="9238"/>
        </w:tabs>
        <w:ind w:left="9238" w:hanging="360"/>
      </w:pPr>
    </w:lvl>
    <w:lvl w:ilvl="6">
      <w:start w:val="1"/>
      <w:numFmt w:val="decimal"/>
      <w:lvlText w:val="%7."/>
      <w:lvlJc w:val="left"/>
      <w:pPr>
        <w:tabs>
          <w:tab w:val="num" w:pos="9598"/>
        </w:tabs>
        <w:ind w:left="9598" w:hanging="360"/>
      </w:pPr>
    </w:lvl>
    <w:lvl w:ilvl="7">
      <w:start w:val="1"/>
      <w:numFmt w:val="lowerLetter"/>
      <w:lvlText w:val="%8."/>
      <w:lvlJc w:val="left"/>
      <w:pPr>
        <w:tabs>
          <w:tab w:val="num" w:pos="9958"/>
        </w:tabs>
        <w:ind w:left="9958" w:hanging="360"/>
      </w:pPr>
    </w:lvl>
    <w:lvl w:ilvl="8">
      <w:start w:val="1"/>
      <w:numFmt w:val="lowerRoman"/>
      <w:lvlText w:val="%9."/>
      <w:lvlJc w:val="left"/>
      <w:pPr>
        <w:tabs>
          <w:tab w:val="num" w:pos="10318"/>
        </w:tabs>
        <w:ind w:left="10318" w:hanging="360"/>
      </w:pPr>
    </w:lvl>
  </w:abstractNum>
  <w:abstractNum w:abstractNumId="13">
    <w:nsid w:val="38B5323E"/>
    <w:multiLevelType w:val="hybridMultilevel"/>
    <w:tmpl w:val="9B4C2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BC230DE"/>
    <w:multiLevelType w:val="multilevel"/>
    <w:tmpl w:val="F99EB0E0"/>
    <w:name w:val="templateNumber"/>
    <w:lvl w:ilvl="0">
      <w:start w:val="1"/>
      <w:numFmt w:val="decimal"/>
      <w:pStyle w:val="ListNumber"/>
      <w:lvlText w:val="%1."/>
      <w:lvlJc w:val="left"/>
      <w:pPr>
        <w:tabs>
          <w:tab w:val="num" w:pos="850"/>
        </w:tabs>
        <w:ind w:left="850" w:hanging="408"/>
      </w:pPr>
    </w:lvl>
    <w:lvl w:ilvl="1">
      <w:start w:val="1"/>
      <w:numFmt w:val="decimal"/>
      <w:pStyle w:val="ListNumber2"/>
      <w:lvlText w:val="%2."/>
      <w:lvlJc w:val="left"/>
      <w:pPr>
        <w:tabs>
          <w:tab w:val="num" w:pos="1191"/>
        </w:tabs>
        <w:ind w:left="1191" w:hanging="341"/>
      </w:pPr>
    </w:lvl>
    <w:lvl w:ilvl="2">
      <w:start w:val="1"/>
      <w:numFmt w:val="decimal"/>
      <w:pStyle w:val="ListNumber3"/>
      <w:lvlText w:val="%3."/>
      <w:lvlJc w:val="left"/>
      <w:pPr>
        <w:tabs>
          <w:tab w:val="num" w:pos="1474"/>
        </w:tabs>
        <w:ind w:left="1474" w:hanging="340"/>
      </w:pPr>
    </w:lvl>
    <w:lvl w:ilvl="3">
      <w:start w:val="1"/>
      <w:numFmt w:val="decimal"/>
      <w:pStyle w:val="ListNumber4"/>
      <w:lvlText w:val="%4."/>
      <w:lvlJc w:val="left"/>
      <w:pPr>
        <w:tabs>
          <w:tab w:val="num" w:pos="1757"/>
        </w:tabs>
        <w:ind w:left="1757" w:hanging="340"/>
      </w:pPr>
    </w:lvl>
    <w:lvl w:ilvl="4">
      <w:start w:val="1"/>
      <w:numFmt w:val="decimal"/>
      <w:pStyle w:val="ListNumber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48BB7503"/>
    <w:multiLevelType w:val="singleLevel"/>
    <w:tmpl w:val="60A0508A"/>
    <w:styleLink w:val="AlphaNote"/>
    <w:lvl w:ilvl="0">
      <w:start w:val="1"/>
      <w:numFmt w:val="lowerLetter"/>
      <w:lvlText w:val="%1."/>
      <w:lvlJc w:val="left"/>
      <w:pPr>
        <w:tabs>
          <w:tab w:val="num" w:pos="408"/>
        </w:tabs>
        <w:ind w:left="408" w:hanging="408"/>
      </w:pPr>
    </w:lvl>
  </w:abstractNum>
  <w:abstractNum w:abstractNumId="16">
    <w:nsid w:val="48EC55A8"/>
    <w:multiLevelType w:val="singleLevel"/>
    <w:tmpl w:val="EBBACA14"/>
    <w:name w:val="templateBullet3"/>
    <w:lvl w:ilvl="0">
      <w:start w:val="1"/>
      <w:numFmt w:val="bullet"/>
      <w:pStyle w:val="ListBullet3"/>
      <w:lvlText w:val="-"/>
      <w:lvlJc w:val="left"/>
      <w:pPr>
        <w:tabs>
          <w:tab w:val="num" w:pos="1474"/>
        </w:tabs>
        <w:ind w:left="1474" w:hanging="340"/>
      </w:pPr>
      <w:rPr>
        <w:rFonts w:ascii="Symbol" w:hAnsi="Symbol" w:cs="Times New Roman" w:hint="default"/>
        <w:b w:val="0"/>
        <w:i w:val="0"/>
        <w:sz w:val="22"/>
      </w:rPr>
    </w:lvl>
  </w:abstractNum>
  <w:abstractNum w:abstractNumId="17">
    <w:nsid w:val="4AAE47B4"/>
    <w:multiLevelType w:val="singleLevel"/>
    <w:tmpl w:val="AB6CFFBC"/>
    <w:name w:val="templateBulletBox2"/>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18">
    <w:nsid w:val="56BE6F79"/>
    <w:multiLevelType w:val="singleLevel"/>
    <w:tmpl w:val="F258D16A"/>
    <w:name w:val="templateBullet4"/>
    <w:lvl w:ilvl="0">
      <w:start w:val="1"/>
      <w:numFmt w:val="bullet"/>
      <w:pStyle w:val="ListBullet4"/>
      <w:lvlText w:val="-"/>
      <w:lvlJc w:val="left"/>
      <w:pPr>
        <w:tabs>
          <w:tab w:val="num" w:pos="1757"/>
        </w:tabs>
        <w:ind w:left="1757" w:hanging="340"/>
      </w:pPr>
      <w:rPr>
        <w:rFonts w:ascii="Symbol" w:hAnsi="Symbol" w:cs="Times New Roman" w:hint="default"/>
        <w:b w:val="0"/>
        <w:i w:val="0"/>
        <w:sz w:val="22"/>
      </w:rPr>
    </w:lvl>
  </w:abstractNum>
  <w:abstractNum w:abstractNumId="19">
    <w:nsid w:val="5C8E0CA3"/>
    <w:multiLevelType w:val="singleLevel"/>
    <w:tmpl w:val="BCFCA2DE"/>
    <w:name w:val="templateBullet5"/>
    <w:lvl w:ilvl="0">
      <w:start w:val="1"/>
      <w:numFmt w:val="bullet"/>
      <w:pStyle w:val="ListBullet5"/>
      <w:lvlText w:val="-"/>
      <w:lvlJc w:val="left"/>
      <w:pPr>
        <w:tabs>
          <w:tab w:val="num" w:pos="2041"/>
        </w:tabs>
        <w:ind w:left="2041" w:hanging="340"/>
      </w:pPr>
      <w:rPr>
        <w:rFonts w:ascii="Symbol" w:hAnsi="Symbol" w:cs="Times New Roman" w:hint="default"/>
        <w:b w:val="0"/>
        <w:i w:val="0"/>
        <w:sz w:val="22"/>
      </w:rPr>
    </w:lvl>
  </w:abstractNum>
  <w:abstractNum w:abstractNumId="20">
    <w:nsid w:val="63C5372E"/>
    <w:multiLevelType w:val="hybridMultilevel"/>
    <w:tmpl w:val="613E1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3E515CF"/>
    <w:multiLevelType w:val="singleLevel"/>
    <w:tmpl w:val="7A00B8A4"/>
    <w:name w:val="templateBulletBox1"/>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num w:numId="1">
    <w:abstractNumId w:val="6"/>
  </w:num>
  <w:num w:numId="2">
    <w:abstractNumId w:val="4"/>
  </w:num>
  <w:num w:numId="3">
    <w:abstractNumId w:val="5"/>
  </w:num>
  <w:num w:numId="4">
    <w:abstractNumId w:val="15"/>
  </w:num>
  <w:num w:numId="5">
    <w:abstractNumId w:val="2"/>
  </w:num>
  <w:num w:numId="6">
    <w:abstractNumId w:val="11"/>
  </w:num>
  <w:num w:numId="7">
    <w:abstractNumId w:val="16"/>
  </w:num>
  <w:num w:numId="8">
    <w:abstractNumId w:val="18"/>
  </w:num>
  <w:num w:numId="9">
    <w:abstractNumId w:val="19"/>
  </w:num>
  <w:num w:numId="10">
    <w:abstractNumId w:val="14"/>
  </w:num>
  <w:num w:numId="11">
    <w:abstractNumId w:val="21"/>
  </w:num>
  <w:num w:numId="12">
    <w:abstractNumId w:val="17"/>
  </w:num>
  <w:num w:numId="13">
    <w:abstractNumId w:val="3"/>
  </w:num>
  <w:num w:numId="14">
    <w:abstractNumId w:val="12"/>
  </w:num>
  <w:num w:numId="15">
    <w:abstractNumId w:val="8"/>
  </w:num>
  <w:num w:numId="16">
    <w:abstractNumId w:val="10"/>
  </w:num>
  <w:num w:numId="17">
    <w:abstractNumId w:val="1"/>
  </w:num>
  <w:num w:numId="18">
    <w:abstractNumId w:val="7"/>
  </w:num>
  <w:num w:numId="19">
    <w:abstractNumId w:val="13"/>
  </w:num>
  <w:num w:numId="20">
    <w:abstractNumId w:val="0"/>
  </w:num>
  <w:num w:numId="21">
    <w:abstractNumId w:val="20"/>
  </w:num>
  <w:num w:numId="22">
    <w:abstractNumId w:val="9"/>
  </w:num>
  <w:num w:numId="23">
    <w:abstractNumId w:val="20"/>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4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lassification" w:val="Document without cote"/>
    <w:docVar w:name="DocumentStyle" w:val="Standard OECD document"/>
    <w:docVar w:name="IsPublication" w:val="0"/>
    <w:docVar w:name="Language" w:val="English"/>
    <w:docVar w:name="PGLANDSCAPE" w:val="0"/>
  </w:docVars>
  <w:rsids>
    <w:rsidRoot w:val="00465AEA"/>
    <w:rsid w:val="0002478D"/>
    <w:rsid w:val="00075756"/>
    <w:rsid w:val="000B7E55"/>
    <w:rsid w:val="00125645"/>
    <w:rsid w:val="001C4B7C"/>
    <w:rsid w:val="001F36E5"/>
    <w:rsid w:val="00236442"/>
    <w:rsid w:val="002E7A14"/>
    <w:rsid w:val="0030014E"/>
    <w:rsid w:val="003448D6"/>
    <w:rsid w:val="00391054"/>
    <w:rsid w:val="00430BE2"/>
    <w:rsid w:val="00465AEA"/>
    <w:rsid w:val="00816E10"/>
    <w:rsid w:val="009576B1"/>
    <w:rsid w:val="00C9046C"/>
    <w:rsid w:val="00D41971"/>
    <w:rsid w:val="00D54F67"/>
    <w:rsid w:val="00DA2884"/>
    <w:rsid w:val="00DC29E4"/>
    <w:rsid w:val="00E214F2"/>
    <w:rsid w:val="00EB6021"/>
    <w:rsid w:val="00F307F8"/>
    <w:rsid w:val="00F3799A"/>
    <w:rsid w:val="00F62C6C"/>
    <w:rsid w:val="00FE0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table" w:styleId="TableGrid">
    <w:name w:val="Table Grid"/>
    <w:basedOn w:val="TableNormal"/>
    <w:uiPriority w:val="59"/>
    <w:rsid w:val="00465AEA"/>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65AEA"/>
    <w:rPr>
      <w:color w:val="0000FF" w:themeColor="hyperlink"/>
      <w:u w:val="single"/>
    </w:rPr>
  </w:style>
  <w:style w:type="character" w:styleId="Strong">
    <w:name w:val="Strong"/>
    <w:basedOn w:val="DefaultParagraphFont"/>
    <w:uiPriority w:val="22"/>
    <w:qFormat/>
    <w:rsid w:val="0039105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table" w:styleId="TableGrid">
    <w:name w:val="Table Grid"/>
    <w:basedOn w:val="TableNormal"/>
    <w:uiPriority w:val="59"/>
    <w:rsid w:val="00465AEA"/>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65AEA"/>
    <w:rPr>
      <w:color w:val="0000FF" w:themeColor="hyperlink"/>
      <w:u w:val="single"/>
    </w:rPr>
  </w:style>
  <w:style w:type="character" w:styleId="Strong">
    <w:name w:val="Strong"/>
    <w:basedOn w:val="DefaultParagraphFont"/>
    <w:uiPriority w:val="22"/>
    <w:qFormat/>
    <w:rsid w:val="003910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738902">
      <w:bodyDiv w:val="1"/>
      <w:marLeft w:val="0"/>
      <w:marRight w:val="0"/>
      <w:marTop w:val="0"/>
      <w:marBottom w:val="0"/>
      <w:divBdr>
        <w:top w:val="none" w:sz="0" w:space="0" w:color="auto"/>
        <w:left w:val="none" w:sz="0" w:space="0" w:color="auto"/>
        <w:bottom w:val="none" w:sz="0" w:space="0" w:color="auto"/>
        <w:right w:val="none" w:sz="0" w:space="0" w:color="auto"/>
      </w:divBdr>
    </w:div>
    <w:div w:id="1028918716">
      <w:bodyDiv w:val="1"/>
      <w:marLeft w:val="0"/>
      <w:marRight w:val="0"/>
      <w:marTop w:val="0"/>
      <w:marBottom w:val="0"/>
      <w:divBdr>
        <w:top w:val="none" w:sz="0" w:space="0" w:color="auto"/>
        <w:left w:val="none" w:sz="0" w:space="0" w:color="auto"/>
        <w:bottom w:val="none" w:sz="0" w:space="0" w:color="auto"/>
        <w:right w:val="none" w:sz="0" w:space="0" w:color="auto"/>
      </w:divBdr>
    </w:div>
    <w:div w:id="1202789340">
      <w:bodyDiv w:val="1"/>
      <w:marLeft w:val="0"/>
      <w:marRight w:val="0"/>
      <w:marTop w:val="0"/>
      <w:marBottom w:val="0"/>
      <w:divBdr>
        <w:top w:val="none" w:sz="0" w:space="0" w:color="auto"/>
        <w:left w:val="none" w:sz="0" w:space="0" w:color="auto"/>
        <w:bottom w:val="none" w:sz="0" w:space="0" w:color="auto"/>
        <w:right w:val="none" w:sz="0" w:space="0" w:color="auto"/>
      </w:divBdr>
    </w:div>
    <w:div w:id="197501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ecd.org/pensions/public-pensions/OECDPensionsAtAGlance2013.pdf" TargetMode="External"/><Relationship Id="rId18" Type="http://schemas.openxmlformats.org/officeDocument/2006/relationships/hyperlink" Target="http://dx.doi.org/10.1787/5jxrcmgpc6mn-e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dx.doi.org/10.1787/soc_glance-2014-en" TargetMode="External"/><Relationship Id="rId7" Type="http://schemas.openxmlformats.org/officeDocument/2006/relationships/footnotes" Target="footnotes.xml"/><Relationship Id="rId12" Type="http://schemas.openxmlformats.org/officeDocument/2006/relationships/hyperlink" Target="http://www.oecd.org/els/health-at-a-glance-europe-23056088.htm" TargetMode="External"/><Relationship Id="rId17" Type="http://schemas.openxmlformats.org/officeDocument/2006/relationships/hyperlink" Target="http://dx.doi.org/10.1787/soc_glance-2014-e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ecd.org/els/social/statistics" TargetMode="External"/><Relationship Id="rId20" Type="http://schemas.openxmlformats.org/officeDocument/2006/relationships/hyperlink" Target="http://www.oecd.org/social/Focus-on-Minimum-Wages-after-the-crisis-2015.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ecd.org/els/health-systems/health-at-a-glance.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tatlinks.oecdcode.org/812013221P1G003.XLS" TargetMode="External"/><Relationship Id="rId23" Type="http://schemas.openxmlformats.org/officeDocument/2006/relationships/footer" Target="footer1.xml"/><Relationship Id="rId10" Type="http://schemas.openxmlformats.org/officeDocument/2006/relationships/hyperlink" Target="http://www.oecd.org/els/health-systems/health-data.htm" TargetMode="External"/><Relationship Id="rId19" Type="http://schemas.openxmlformats.org/officeDocument/2006/relationships/hyperlink" Target="http://www.oecd.org/els/benefits-and-wages.htm" TargetMode="External"/><Relationship Id="rId4" Type="http://schemas.microsoft.com/office/2007/relationships/stylesWithEffects" Target="stylesWithEffects.xml"/><Relationship Id="rId9" Type="http://schemas.openxmlformats.org/officeDocument/2006/relationships/hyperlink" Target="http://www.oecd.org/pensions/public-pensions/OECDPensionsAtAGlance2013.pdf" TargetMode="External"/><Relationship Id="rId14" Type="http://schemas.openxmlformats.org/officeDocument/2006/relationships/hyperlink" Target="http://statlinks.oecdcode.org/812013221P1G002.XL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OECDHarvard.XSL" StyleName="OECD Harvard"/>
</file>

<file path=customXml/itemProps1.xml><?xml version="1.0" encoding="utf-8"?>
<ds:datastoreItem xmlns:ds="http://schemas.openxmlformats.org/officeDocument/2006/customXml" ds:itemID="{7362FE60-7620-4CA1-92BC-BFC47A689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2627</Words>
  <Characters>14978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O.E.C.D.</Company>
  <LinksUpToDate>false</LinksUpToDate>
  <CharactersWithSpaces>17570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 DERCOLE Marco</dc:creator>
  <cp:lastModifiedBy>Benjamin Rae</cp:lastModifiedBy>
  <cp:revision>2</cp:revision>
  <dcterms:created xsi:type="dcterms:W3CDTF">2015-05-20T16:03:00Z</dcterms:created>
  <dcterms:modified xsi:type="dcterms:W3CDTF">2015-05-20T16:03:00Z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jor Version">
    <vt:lpwstr>1</vt:lpwstr>
  </property>
  <property fmtid="{D5CDD505-2E9C-101B-9397-08002B2CF9AE}" pid="3" name="Minor Version">
    <vt:lpwstr>0</vt:lpwstr>
  </property>
  <property fmtid="{D5CDD505-2E9C-101B-9397-08002B2CF9AE}" pid="4" name="Build">
    <vt:lpwstr>20110530-001</vt:lpwstr>
  </property>
</Properties>
</file>